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February 6, 2019</w:t>
      </w:r>
    </w:p>
    <w:p>
      <w:pPr>
        <w:spacing w:after="0" w:line="20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TAKE-TWO INTERACTIVE SOFTWARE,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60"/>
          </w:cols>
          <w:pgMar w:left="240" w:top="544" w:right="299" w:bottom="1440" w:gutter="0" w:footer="0" w:header="0"/>
        </w:sectPr>
      </w:pPr>
    </w:p>
    <w:p>
      <w:pPr>
        <w:spacing w:after="0" w:line="205" w:lineRule="exact"/>
        <w:rPr>
          <w:sz w:val="24"/>
          <w:szCs w:val="24"/>
          <w:color w:val="auto"/>
        </w:rPr>
      </w:pPr>
    </w:p>
    <w:p>
      <w:pPr>
        <w:ind w:left="14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1980"/>
        <w:spacing w:after="0"/>
        <w:rPr>
          <w:sz w:val="20"/>
          <w:szCs w:val="20"/>
          <w:color w:val="auto"/>
        </w:rPr>
      </w:pPr>
      <w:r>
        <w:rPr>
          <w:rFonts w:ascii="Arial" w:cs="Arial" w:eastAsia="Arial" w:hAnsi="Arial"/>
          <w:sz w:val="18"/>
          <w:szCs w:val="18"/>
          <w:b w:val="1"/>
          <w:bCs w:val="1"/>
          <w:color w:val="auto"/>
        </w:rPr>
        <w:t>001-34003</w:t>
      </w:r>
    </w:p>
    <w:p>
      <w:pPr>
        <w:spacing w:after="0" w:line="27"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51-0350842</w:t>
      </w:r>
    </w:p>
    <w:p>
      <w:pPr>
        <w:spacing w:after="0" w:line="27" w:lineRule="exact"/>
        <w:rPr>
          <w:sz w:val="24"/>
          <w:szCs w:val="24"/>
          <w:color w:val="auto"/>
        </w:rPr>
      </w:pPr>
    </w:p>
    <w:p>
      <w:pPr>
        <w:jc w:val="center"/>
        <w:ind w:right="11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1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520" w:space="720"/>
            <w:col w:w="2960" w:space="720"/>
            <w:col w:w="2440"/>
          </w:cols>
          <w:pgMar w:left="240" w:top="544" w:right="299" w:bottom="1440" w:gutter="0" w:footer="0" w:header="0"/>
          <w:type w:val="continuous"/>
        </w:sectPr>
      </w:pPr>
    </w:p>
    <w:p>
      <w:pPr>
        <w:spacing w:after="0" w:line="7" w:lineRule="exact"/>
        <w:rPr>
          <w:sz w:val="24"/>
          <w:szCs w:val="24"/>
          <w:color w:val="auto"/>
        </w:rPr>
      </w:pPr>
    </w:p>
    <w:p>
      <w:pPr>
        <w:jc w:val="center"/>
        <w:ind w:right="1880"/>
        <w:spacing w:after="0"/>
        <w:rPr>
          <w:sz w:val="20"/>
          <w:szCs w:val="20"/>
          <w:color w:val="auto"/>
        </w:rPr>
      </w:pPr>
      <w:r>
        <w:rPr>
          <w:rFonts w:ascii="Arial" w:cs="Arial" w:eastAsia="Arial" w:hAnsi="Arial"/>
          <w:sz w:val="16"/>
          <w:szCs w:val="16"/>
          <w:b w:val="1"/>
          <w:bCs w:val="1"/>
          <w:color w:val="auto"/>
        </w:rPr>
        <w:t>110 West 44</w:t>
      </w:r>
      <w:r>
        <w:rPr>
          <w:rFonts w:ascii="Arial" w:cs="Arial" w:eastAsia="Arial" w:hAnsi="Arial"/>
          <w:sz w:val="10"/>
          <w:szCs w:val="10"/>
          <w:b w:val="1"/>
          <w:bCs w:val="1"/>
          <w:color w:val="auto"/>
        </w:rPr>
        <w:t>th</w:t>
      </w:r>
      <w:r>
        <w:rPr>
          <w:rFonts w:ascii="Arial" w:cs="Arial" w:eastAsia="Arial" w:hAnsi="Arial"/>
          <w:sz w:val="16"/>
          <w:szCs w:val="16"/>
          <w:b w:val="1"/>
          <w:bCs w:val="1"/>
          <w:color w:val="auto"/>
        </w:rPr>
        <w:t xml:space="preserve"> Street, New York, New York</w:t>
      </w:r>
    </w:p>
    <w:p>
      <w:pPr>
        <w:spacing w:after="0" w:line="50" w:lineRule="exact"/>
        <w:rPr>
          <w:sz w:val="24"/>
          <w:szCs w:val="24"/>
          <w:color w:val="auto"/>
        </w:rPr>
      </w:pPr>
    </w:p>
    <w:p>
      <w:pPr>
        <w:jc w:val="center"/>
        <w:ind w:right="188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jc w:val="center"/>
        <w:ind w:right="2340"/>
        <w:spacing w:after="0"/>
        <w:rPr>
          <w:sz w:val="20"/>
          <w:szCs w:val="20"/>
          <w:color w:val="auto"/>
        </w:rPr>
      </w:pPr>
      <w:r>
        <w:rPr>
          <w:rFonts w:ascii="Arial" w:cs="Arial" w:eastAsia="Arial" w:hAnsi="Arial"/>
          <w:sz w:val="18"/>
          <w:szCs w:val="18"/>
          <w:b w:val="1"/>
          <w:bCs w:val="1"/>
          <w:color w:val="auto"/>
        </w:rPr>
        <w:t>10036</w:t>
      </w:r>
    </w:p>
    <w:p>
      <w:pPr>
        <w:spacing w:after="0" w:line="27" w:lineRule="exact"/>
        <w:rPr>
          <w:sz w:val="24"/>
          <w:szCs w:val="24"/>
          <w:color w:val="auto"/>
        </w:rPr>
      </w:pPr>
    </w:p>
    <w:p>
      <w:pPr>
        <w:jc w:val="center"/>
        <w:ind w:right="234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500" w:space="720"/>
            <w:col w:w="3140"/>
          </w:cols>
          <w:pgMar w:left="240" w:top="544" w:right="299" w:bottom="1440" w:gutter="0" w:footer="0" w:header="0"/>
          <w:type w:val="continuous"/>
        </w:sectPr>
      </w:pPr>
    </w:p>
    <w:p>
      <w:pPr>
        <w:spacing w:after="0" w:line="11" w:lineRule="exact"/>
        <w:rPr>
          <w:sz w:val="24"/>
          <w:szCs w:val="24"/>
          <w:color w:val="auto"/>
        </w:rPr>
      </w:pPr>
    </w:p>
    <w:p>
      <w:pPr>
        <w:ind w:left="3260"/>
        <w:spacing w:after="0"/>
        <w:rPr>
          <w:sz w:val="20"/>
          <w:szCs w:val="20"/>
          <w:color w:val="auto"/>
        </w:rPr>
      </w:pPr>
      <w:r>
        <w:rPr>
          <w:rFonts w:ascii="Arial" w:cs="Arial" w:eastAsia="Arial" w:hAnsi="Arial"/>
          <w:sz w:val="16"/>
          <w:szCs w:val="16"/>
          <w:color w:val="auto"/>
        </w:rPr>
        <w:t>Registrant’s telephone number, including area code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(646) 536-2842</w:t>
      </w:r>
    </w:p>
    <w:p>
      <w:pPr>
        <w:spacing w:after="0" w:line="204" w:lineRule="exact"/>
        <w:rPr>
          <w:sz w:val="24"/>
          <w:szCs w:val="24"/>
          <w:color w:val="auto"/>
        </w:rPr>
      </w:pPr>
    </w:p>
    <w:p>
      <w:pPr>
        <w:sectPr>
          <w:pgSz w:w="11900" w:h="16838" w:orient="portrait"/>
          <w:cols w:equalWidth="0" w:num="2">
            <w:col w:w="6960" w:space="80"/>
            <w:col w:w="4320"/>
          </w:cols>
          <w:pgMar w:left="240" w:top="544" w:right="299" w:bottom="1440" w:gutter="0" w:footer="0" w:header="0"/>
          <w:type w:val="continuous"/>
        </w:sectPr>
      </w:pPr>
    </w:p>
    <w:p>
      <w:pPr>
        <w:spacing w:after="0" w:line="264"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280" w:hanging="272"/>
        <w:spacing w:after="0"/>
        <w:tabs>
          <w:tab w:leader="none" w:pos="28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280" w:hanging="272"/>
        <w:spacing w:after="0"/>
        <w:tabs>
          <w:tab w:leader="none" w:pos="28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280" w:hanging="272"/>
        <w:spacing w:after="0"/>
        <w:tabs>
          <w:tab w:leader="none" w:pos="2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280" w:hanging="272"/>
        <w:spacing w:after="0"/>
        <w:tabs>
          <w:tab w:leader="none" w:pos="2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544" w:right="299" w:bottom="1440" w:gutter="0" w:footer="0" w:header="0"/>
          <w:type w:val="continuous"/>
        </w:sectPr>
      </w:pPr>
    </w:p>
    <w:bookmarkStart w:id="1" w:name="page2"/>
    <w:bookmarkEnd w:id="1"/>
    <w:p>
      <w:pPr>
        <w:spacing w:after="0"/>
        <w:tabs>
          <w:tab w:leader="none" w:pos="13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On February 6, 2019, Take-Two Interactive Software, Inc. (the “Company”) issued a press release announcing the financial results of the Company for its third fiscal quarter ended December 31, 2018. A copy of the press release is attached to this Current Report as Exhibit 99.1 and is incorporated by reference herein.</w:t>
      </w:r>
    </w:p>
    <w:p>
      <w:pPr>
        <w:spacing w:after="0" w:line="181"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The information included in this Current Report on Form 8-K, including Exhibit 99.1 hereto, that is furnished pursuant to this Item 2.02 shall not be deemed to be “filed” for the purposes of Section 18 of the Securities Exchange Act of 1934, as amended, or otherwise subject to the liabilities of that section or Sections 11 and 12(a)(2) of the Securities Act of 1933, as amended. In addition, the information included in this Current Report on Form 8-K, including Exhibit 99.1 hereto, that is furnished pursuant to this Item 2.02 shall not be incorporated by reference into any filing of the Company, whether made before or after the date hereof, regardless of any general incorporation language in such filing, unless expressly incorporated by specific reference into such filing.</w:t>
      </w:r>
    </w:p>
    <w:p>
      <w:pPr>
        <w:spacing w:after="0" w:line="154" w:lineRule="exact"/>
        <w:rPr>
          <w:sz w:val="20"/>
          <w:szCs w:val="20"/>
          <w:color w:val="auto"/>
        </w:rPr>
      </w:pPr>
    </w:p>
    <w:p>
      <w:pPr>
        <w:spacing w:after="0"/>
        <w:tabs>
          <w:tab w:leader="none" w:pos="13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1400" w:hanging="744"/>
        <w:spacing w:after="0"/>
        <w:tabs>
          <w:tab w:leader="none" w:pos="14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rFonts w:ascii="Arial" w:cs="Arial" w:eastAsia="Arial" w:hAnsi="Arial"/>
          <w:sz w:val="18"/>
          <w:szCs w:val="18"/>
          <w:color w:val="auto"/>
        </w:rPr>
      </w:pPr>
    </w:p>
    <w:p>
      <w:pPr>
        <w:ind w:left="2060" w:right="40" w:hanging="648"/>
        <w:spacing w:after="0" w:line="277" w:lineRule="auto"/>
        <w:rPr>
          <w:rFonts w:ascii="Arial" w:cs="Arial" w:eastAsia="Arial" w:hAnsi="Arial"/>
          <w:sz w:val="18"/>
          <w:szCs w:val="18"/>
          <w:color w:val="auto"/>
        </w:rPr>
      </w:pPr>
      <w:r>
        <w:rPr>
          <w:rFonts w:ascii="Arial" w:cs="Arial" w:eastAsia="Arial" w:hAnsi="Arial"/>
          <w:sz w:val="18"/>
          <w:szCs w:val="18"/>
          <w:color w:val="auto"/>
        </w:rPr>
        <w:t>99.1 Press Release dated February 6, 2019 relating to Take-Two Interactive Software, Inc.’s financial results for its third fiscal quarter ended December 31, 2018.</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337" w:right="29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8620" w:type="dxa"/>
            <w:vAlign w:val="bottom"/>
            <w:gridSpan w:val="4"/>
          </w:tcPr>
          <w:p>
            <w:pPr>
              <w:jc w:val="center"/>
              <w:ind w:right="2780"/>
              <w:spacing w:after="0"/>
              <w:rPr>
                <w:sz w:val="20"/>
                <w:szCs w:val="20"/>
                <w:color w:val="auto"/>
              </w:rPr>
            </w:pPr>
            <w:r>
              <w:rPr>
                <w:rFonts w:ascii="Arial" w:cs="Arial" w:eastAsia="Arial" w:hAnsi="Arial"/>
                <w:sz w:val="18"/>
                <w:szCs w:val="18"/>
                <w:b w:val="1"/>
                <w:bCs w:val="1"/>
                <w:color w:val="auto"/>
              </w:rPr>
              <w:t>EXHIBIT INDEX</w:t>
            </w:r>
          </w:p>
        </w:tc>
        <w:tc>
          <w:tcPr>
            <w:tcW w:w="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85"/>
        </w:trPr>
        <w:tc>
          <w:tcPr>
            <w:tcW w:w="10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Exhibit</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tcPr>
          <w:p>
            <w:pPr>
              <w:spacing w:after="0"/>
              <w:rPr>
                <w:sz w:val="24"/>
                <w:szCs w:val="24"/>
                <w:color w:val="auto"/>
              </w:rPr>
            </w:pPr>
          </w:p>
        </w:tc>
        <w:tc>
          <w:tcPr>
            <w:tcW w:w="6400" w:type="dxa"/>
            <w:vAlign w:val="bottom"/>
            <w:tcBorders>
              <w:bottom w:val="single" w:sz="8" w:color="auto"/>
            </w:tcBorders>
            <w:gridSpan w:val="3"/>
          </w:tcPr>
          <w:p>
            <w:pPr>
              <w:ind w:left="1000"/>
              <w:spacing w:after="0"/>
              <w:rPr>
                <w:sz w:val="20"/>
                <w:szCs w:val="20"/>
                <w:color w:val="auto"/>
              </w:rPr>
            </w:pPr>
            <w:r>
              <w:rPr>
                <w:rFonts w:ascii="Arial" w:cs="Arial" w:eastAsia="Arial" w:hAnsi="Arial"/>
                <w:sz w:val="14"/>
                <w:szCs w:val="14"/>
                <w:b w:val="1"/>
                <w:bCs w:val="1"/>
                <w:color w:val="auto"/>
              </w:rPr>
              <w:t>Description</w:t>
            </w:r>
          </w:p>
        </w:tc>
        <w:tc>
          <w:tcPr>
            <w:tcW w:w="40" w:type="dxa"/>
            <w:vAlign w:val="bottom"/>
          </w:tcPr>
          <w:p>
            <w:pPr>
              <w:spacing w:after="0"/>
              <w:rPr>
                <w:sz w:val="24"/>
                <w:szCs w:val="24"/>
                <w:color w:val="auto"/>
              </w:rPr>
            </w:pPr>
          </w:p>
        </w:tc>
      </w:tr>
      <w:tr>
        <w:trPr>
          <w:trHeight w:val="385"/>
        </w:trPr>
        <w:tc>
          <w:tcPr>
            <w:tcW w:w="1060" w:type="dxa"/>
            <w:vAlign w:val="bottom"/>
          </w:tcPr>
          <w:p>
            <w:pPr>
              <w:spacing w:after="0"/>
              <w:rPr>
                <w:sz w:val="20"/>
                <w:szCs w:val="20"/>
                <w:color w:val="auto"/>
              </w:rPr>
            </w:pPr>
            <w:r>
              <w:rPr>
                <w:rFonts w:ascii="Arial" w:cs="Arial" w:eastAsia="Arial" w:hAnsi="Arial"/>
                <w:sz w:val="18"/>
                <w:szCs w:val="18"/>
                <w:color w:val="auto"/>
              </w:rPr>
              <w:t>99.1</w:t>
            </w:r>
          </w:p>
        </w:tc>
        <w:tc>
          <w:tcPr>
            <w:tcW w:w="280" w:type="dxa"/>
            <w:vAlign w:val="bottom"/>
          </w:tcPr>
          <w:p>
            <w:pPr>
              <w:spacing w:after="0"/>
              <w:rPr>
                <w:sz w:val="24"/>
                <w:szCs w:val="24"/>
                <w:color w:val="auto"/>
              </w:rPr>
            </w:pPr>
          </w:p>
        </w:tc>
        <w:tc>
          <w:tcPr>
            <w:tcW w:w="976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Press Release dated February 6, 2019 relating to Take-Two Interactive Software, Inc.’s financial results for its third fiscal quarter ended</w:t>
              </w:r>
            </w:hyperlink>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80" w:type="dxa"/>
            <w:vAlign w:val="bottom"/>
            <w:gridSpan w:val="6"/>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December 31, 2018.</w:t>
              </w:r>
            </w:hyperlink>
          </w:p>
        </w:tc>
        <w:tc>
          <w:tcPr>
            <w:tcW w:w="40" w:type="dxa"/>
            <w:vAlign w:val="bottom"/>
          </w:tcPr>
          <w:p>
            <w:pPr>
              <w:spacing w:after="0"/>
              <w:rPr>
                <w:sz w:val="17"/>
                <w:szCs w:val="17"/>
                <w:color w:val="auto"/>
              </w:rPr>
            </w:pPr>
          </w:p>
        </w:tc>
      </w:tr>
      <w:tr>
        <w:trPr>
          <w:trHeight w:val="453"/>
        </w:trPr>
        <w:tc>
          <w:tcPr>
            <w:tcW w:w="1060" w:type="dxa"/>
            <w:vAlign w:val="bottom"/>
          </w:tcPr>
          <w:p>
            <w:pPr>
              <w:spacing w:after="0"/>
              <w:rPr>
                <w:sz w:val="24"/>
                <w:szCs w:val="24"/>
                <w:color w:val="auto"/>
              </w:rPr>
            </w:pPr>
          </w:p>
        </w:tc>
        <w:tc>
          <w:tcPr>
            <w:tcW w:w="300" w:type="dxa"/>
            <w:vAlign w:val="bottom"/>
            <w:gridSpan w:val="2"/>
          </w:tcPr>
          <w:p>
            <w:pPr>
              <w:spacing w:after="0"/>
              <w:rPr>
                <w:sz w:val="24"/>
                <w:szCs w:val="24"/>
                <w:color w:val="auto"/>
              </w:rPr>
            </w:pPr>
          </w:p>
        </w:tc>
        <w:tc>
          <w:tcPr>
            <w:tcW w:w="1440" w:type="dxa"/>
            <w:vAlign w:val="bottom"/>
            <w:tcBorders>
              <w:top w:val="single" w:sz="8" w:color="0000EE"/>
            </w:tcBorders>
          </w:tcPr>
          <w:p>
            <w:pPr>
              <w:spacing w:after="0"/>
              <w:rPr>
                <w:sz w:val="24"/>
                <w:szCs w:val="24"/>
                <w:color w:val="auto"/>
              </w:rPr>
            </w:pPr>
          </w:p>
        </w:tc>
        <w:tc>
          <w:tcPr>
            <w:tcW w:w="3620" w:type="dxa"/>
            <w:vAlign w:val="bottom"/>
            <w:gridSpan w:val="2"/>
          </w:tcPr>
          <w:p>
            <w:pPr>
              <w:jc w:val="right"/>
              <w:ind w:right="588"/>
              <w:spacing w:after="0"/>
              <w:rPr>
                <w:sz w:val="20"/>
                <w:szCs w:val="20"/>
                <w:color w:val="auto"/>
              </w:rPr>
            </w:pPr>
            <w:r>
              <w:rPr>
                <w:rFonts w:ascii="Arial" w:cs="Arial" w:eastAsia="Arial" w:hAnsi="Arial"/>
                <w:sz w:val="18"/>
                <w:szCs w:val="18"/>
                <w:color w:val="auto"/>
              </w:rPr>
              <w:t>3</w:t>
            </w:r>
          </w:p>
        </w:tc>
        <w:tc>
          <w:tcPr>
            <w:tcW w:w="4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106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40" w:type="dxa"/>
            <w:vAlign w:val="bottom"/>
            <w:tcBorders>
              <w:bottom w:val="single" w:sz="8" w:color="808080"/>
            </w:tcBorders>
          </w:tcPr>
          <w:p>
            <w:pPr>
              <w:spacing w:after="0"/>
              <w:rPr>
                <w:sz w:val="11"/>
                <w:szCs w:val="11"/>
                <w:color w:val="auto"/>
              </w:rPr>
            </w:pPr>
          </w:p>
        </w:tc>
        <w:tc>
          <w:tcPr>
            <w:tcW w:w="2220" w:type="dxa"/>
            <w:vAlign w:val="bottom"/>
            <w:tcBorders>
              <w:bottom w:val="single" w:sz="8" w:color="808080"/>
            </w:tcBorders>
          </w:tcPr>
          <w:p>
            <w:pPr>
              <w:spacing w:after="0"/>
              <w:rPr>
                <w:sz w:val="11"/>
                <w:szCs w:val="11"/>
                <w:color w:val="auto"/>
              </w:rPr>
            </w:pPr>
          </w:p>
        </w:tc>
        <w:tc>
          <w:tcPr>
            <w:tcW w:w="1400" w:type="dxa"/>
            <w:vAlign w:val="bottom"/>
            <w:tcBorders>
              <w:bottom w:val="single" w:sz="8" w:color="808080"/>
            </w:tcBorders>
          </w:tcPr>
          <w:p>
            <w:pPr>
              <w:spacing w:after="0"/>
              <w:rPr>
                <w:sz w:val="11"/>
                <w:szCs w:val="11"/>
                <w:color w:val="auto"/>
              </w:rPr>
            </w:pPr>
          </w:p>
        </w:tc>
        <w:tc>
          <w:tcPr>
            <w:tcW w:w="4680" w:type="dxa"/>
            <w:vAlign w:val="bottom"/>
            <w:tcBorders>
              <w:bottom w:val="single" w:sz="8" w:color="808080"/>
            </w:tcBorders>
          </w:tcPr>
          <w:p>
            <w:pPr>
              <w:spacing w:after="0"/>
              <w:rPr>
                <w:sz w:val="11"/>
                <w:szCs w:val="11"/>
                <w:color w:val="auto"/>
              </w:rPr>
            </w:pPr>
          </w:p>
        </w:tc>
        <w:tc>
          <w:tcPr>
            <w:tcW w:w="3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24" w:right="199" w:bottom="1440" w:gutter="0" w:footer="0" w:header="0"/>
        </w:sectPr>
      </w:pPr>
    </w:p>
    <w:bookmarkStart w:id="3" w:name="page4"/>
    <w:bookmarkEnd w:id="3"/>
    <w:p>
      <w:pPr>
        <w:jc w:val="center"/>
        <w:ind w:right="-3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27" w:lineRule="exact"/>
        <w:rPr>
          <w:sz w:val="20"/>
          <w:szCs w:val="20"/>
          <w:color w:val="auto"/>
        </w:rPr>
      </w:pPr>
    </w:p>
    <w:p>
      <w:pPr>
        <w:ind w:left="5720"/>
        <w:spacing w:after="0"/>
        <w:tabs>
          <w:tab w:leader="none" w:pos="6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Matthew Breitman</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Matthew Breitman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-130810</wp:posOffset>
            </wp:positionV>
            <wp:extent cx="32588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Senior Vice President, Deputy General Counsel &amp; Corporate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February 6, 2019</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857885" cy="8235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57885" cy="8235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FOR IMMEDIATE RELEASE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ectPr>
          <w:pgSz w:w="11900" w:h="16838" w:orient="portrait"/>
          <w:cols w:equalWidth="0" w:num="1">
            <w:col w:w="11420"/>
          </w:cols>
          <w:pgMar w:left="240" w:top="121" w:right="23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Henry A. Diamond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Investor Relations &amp; Corporate Communications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 Interactive Software,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 536-3005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Henry.Diamond@take2games.com</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(Corporate Press)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Alan Lewis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Corporate Communications &amp; Public Affairs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 Interactive Software,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 536-2983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Alan.Lewis@take2games.com</w:t>
      </w:r>
    </w:p>
    <w:p>
      <w:pPr>
        <w:spacing w:after="0" w:line="200" w:lineRule="exact"/>
        <w:rPr>
          <w:sz w:val="20"/>
          <w:szCs w:val="20"/>
          <w:color w:val="auto"/>
        </w:rPr>
      </w:pPr>
    </w:p>
    <w:p>
      <w:pPr>
        <w:sectPr>
          <w:pgSz w:w="11900" w:h="16838" w:orient="portrait"/>
          <w:cols w:equalWidth="0" w:num="2">
            <w:col w:w="5000" w:space="720"/>
            <w:col w:w="5700"/>
          </w:cols>
          <w:pgMar w:left="240" w:top="121" w:right="239" w:bottom="1440" w:gutter="0" w:footer="0" w:header="0"/>
          <w:type w:val="continuous"/>
        </w:sectPr>
      </w:pP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 Reports Strong Results for Fiscal Third Quarter 2019</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GAAP net revenue grew to $1.249 billion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GAAP net income per diluted share increased to $1.57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Net Bookings grew 140% to $1.569 billion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Company repurchased 1.0 million shares of its common stock for $108.9 million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Company raises outlook for fiscal year 2019</w:t>
      </w:r>
    </w:p>
    <w:p>
      <w:pPr>
        <w:spacing w:after="0" w:line="221" w:lineRule="exact"/>
        <w:rPr>
          <w:sz w:val="20"/>
          <w:szCs w:val="20"/>
          <w:color w:val="auto"/>
        </w:rPr>
      </w:pPr>
    </w:p>
    <w:p>
      <w:pPr>
        <w:jc w:val="both"/>
        <w:ind w:right="20"/>
        <w:spacing w:after="0" w:line="261" w:lineRule="auto"/>
        <w:rPr>
          <w:sz w:val="20"/>
          <w:szCs w:val="20"/>
          <w:color w:val="auto"/>
        </w:rPr>
      </w:pPr>
      <w:r>
        <w:rPr>
          <w:rFonts w:ascii="Arial" w:cs="Arial" w:eastAsia="Arial" w:hAnsi="Arial"/>
          <w:sz w:val="18"/>
          <w:szCs w:val="18"/>
          <w:b w:val="1"/>
          <w:bCs w:val="1"/>
          <w:u w:val="single" w:color="auto"/>
          <w:color w:val="auto"/>
        </w:rPr>
        <w:t>New York, NY — February 6, 2019</w:t>
      </w:r>
      <w:r>
        <w:rPr>
          <w:rFonts w:ascii="Arial" w:cs="Arial" w:eastAsia="Arial" w:hAnsi="Arial"/>
          <w:sz w:val="18"/>
          <w:szCs w:val="18"/>
          <w:b w:val="1"/>
          <w:bCs w:val="1"/>
          <w:color w:val="auto"/>
        </w:rPr>
        <w:t xml:space="preserve"> </w:t>
      </w:r>
      <w:r>
        <w:rPr>
          <w:rFonts w:ascii="Arial" w:cs="Arial" w:eastAsia="Arial" w:hAnsi="Arial"/>
          <w:sz w:val="18"/>
          <w:szCs w:val="18"/>
          <w:color w:val="auto"/>
        </w:rPr>
        <w:t>— Take-Two Interactive Software, Inc. (NASDAQ:TTWO) today reported strong results for its fiscal third quarter 2019</w:t>
      </w:r>
      <w:r>
        <w:rPr>
          <w:rFonts w:ascii="Arial" w:cs="Arial" w:eastAsia="Arial" w:hAnsi="Arial"/>
          <w:sz w:val="18"/>
          <w:szCs w:val="18"/>
          <w:b w:val="1"/>
          <w:bCs w:val="1"/>
          <w:color w:val="auto"/>
        </w:rPr>
        <w:t xml:space="preserve"> </w:t>
      </w:r>
      <w:r>
        <w:rPr>
          <w:rFonts w:ascii="Arial" w:cs="Arial" w:eastAsia="Arial" w:hAnsi="Arial"/>
          <w:sz w:val="18"/>
          <w:szCs w:val="18"/>
          <w:color w:val="auto"/>
        </w:rPr>
        <w:t>ended December 31, 2018. In addition, the Company provided its initial outlook for its fiscal fourth quarter ending March 31, 2019, and raised its outlook for its fiscal year ending March 31, 2019. For additional information, please see the fiscal third quarter 2019 results slide deck posted to the Company’s investor relations website at http://ir.take2games.com.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Fiscal Third Quarter 2019 Financial Highlights</w:t>
      </w:r>
    </w:p>
    <w:p>
      <w:pPr>
        <w:spacing w:after="0" w:line="22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 xml:space="preserve">On April 1, 2018, the Company adopted FASB ASU 2014-09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Topic 606 significantly changes how the Company recognizes and reports net revenue and net income; however, it does not materially impact Net Bookings (our operational metric). Financial data for periods prior to April 1, 2018 has not been restated.</w:t>
      </w:r>
    </w:p>
    <w:p>
      <w:pPr>
        <w:spacing w:after="0" w:line="181"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 xml:space="preserve">Net revenue grew to $1.249 billion, as compared to $480.8 million in last year’s fiscal third quarter. Recurrent consumer spending (virtual currency, add-on content and in-game purchases, including the allocated value of virtual currency and add-on content included in special editions of certain games) increased and accounted for 24% of total net revenue. The largest contributors to net revenue in fiscal third quarter 2019 were </w:t>
      </w:r>
      <w:r>
        <w:rPr>
          <w:rFonts w:ascii="Arial" w:cs="Arial" w:eastAsia="Arial" w:hAnsi="Arial"/>
          <w:sz w:val="18"/>
          <w:szCs w:val="18"/>
          <w:i w:val="1"/>
          <w:iCs w:val="1"/>
          <w:color w:val="auto"/>
        </w:rPr>
        <w:t>Red Dead Redemption 2</w:t>
      </w:r>
      <w:r>
        <w:rPr>
          <w:rFonts w:ascii="Arial" w:cs="Arial" w:eastAsia="Arial" w:hAnsi="Arial"/>
          <w:sz w:val="18"/>
          <w:szCs w:val="18"/>
          <w:color w:val="auto"/>
        </w:rPr>
        <w:t xml:space="preserve">, </w:t>
      </w:r>
      <w:r>
        <w:rPr>
          <w:rFonts w:ascii="Arial" w:cs="Arial" w:eastAsia="Arial" w:hAnsi="Arial"/>
          <w:sz w:val="18"/>
          <w:szCs w:val="18"/>
          <w:i w:val="1"/>
          <w:iCs w:val="1"/>
          <w:color w:val="auto"/>
        </w:rPr>
        <w:t>NBA® 2K19</w:t>
      </w:r>
      <w:r>
        <w:rPr>
          <w:rFonts w:ascii="Arial" w:cs="Arial" w:eastAsia="Arial" w:hAnsi="Arial"/>
          <w:sz w:val="18"/>
          <w:szCs w:val="18"/>
          <w:color w:val="auto"/>
        </w:rPr>
        <w:t xml:space="preserve"> and </w:t>
      </w:r>
      <w:r>
        <w:rPr>
          <w:rFonts w:ascii="Arial" w:cs="Arial" w:eastAsia="Arial" w:hAnsi="Arial"/>
          <w:sz w:val="18"/>
          <w:szCs w:val="18"/>
          <w:i w:val="1"/>
          <w:iCs w:val="1"/>
          <w:color w:val="auto"/>
        </w:rPr>
        <w:t>NBA 2K18</w:t>
      </w:r>
      <w:r>
        <w:rPr>
          <w:rFonts w:ascii="Arial" w:cs="Arial" w:eastAsia="Arial" w:hAnsi="Arial"/>
          <w:sz w:val="18"/>
          <w:szCs w:val="18"/>
          <w:color w:val="auto"/>
        </w:rPr>
        <w:t xml:space="preserve">,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w:t>
      </w:r>
      <w:r>
        <w:rPr>
          <w:rFonts w:ascii="Arial" w:cs="Arial" w:eastAsia="Arial" w:hAnsi="Arial"/>
          <w:sz w:val="18"/>
          <w:szCs w:val="18"/>
          <w:i w:val="1"/>
          <w:iCs w:val="1"/>
          <w:color w:val="auto"/>
        </w:rPr>
        <w:t>WWE® 2K19</w:t>
      </w:r>
      <w:r>
        <w:rPr>
          <w:rFonts w:ascii="Arial" w:cs="Arial" w:eastAsia="Arial" w:hAnsi="Arial"/>
          <w:sz w:val="18"/>
          <w:szCs w:val="18"/>
          <w:color w:val="auto"/>
        </w:rPr>
        <w:t xml:space="preserve"> and </w:t>
      </w:r>
      <w:r>
        <w:rPr>
          <w:rFonts w:ascii="Arial" w:cs="Arial" w:eastAsia="Arial" w:hAnsi="Arial"/>
          <w:sz w:val="18"/>
          <w:szCs w:val="18"/>
          <w:i w:val="1"/>
          <w:iCs w:val="1"/>
          <w:color w:val="auto"/>
        </w:rPr>
        <w:t>WWE® SuperCard</w:t>
      </w:r>
      <w:r>
        <w:rPr>
          <w:rFonts w:ascii="Arial" w:cs="Arial" w:eastAsia="Arial" w:hAnsi="Arial"/>
          <w:sz w:val="18"/>
          <w:szCs w:val="18"/>
          <w:color w:val="auto"/>
        </w:rPr>
        <w:t xml:space="preserve">,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and </w:t>
      </w:r>
      <w:r>
        <w:rPr>
          <w:rFonts w:ascii="Arial" w:cs="Arial" w:eastAsia="Arial" w:hAnsi="Arial"/>
          <w:sz w:val="18"/>
          <w:szCs w:val="18"/>
          <w:i w:val="1"/>
          <w:iCs w:val="1"/>
          <w:color w:val="auto"/>
        </w:rPr>
        <w:t>Monster Legends</w:t>
      </w:r>
      <w:r>
        <w:rPr>
          <w:rFonts w:ascii="Arial" w:cs="Arial" w:eastAsia="Arial" w:hAnsi="Arial"/>
          <w:sz w:val="18"/>
          <w:szCs w:val="18"/>
          <w:color w:val="auto"/>
        </w:rPr>
        <w:t xml:space="preserve">, and </w:t>
      </w:r>
      <w:r>
        <w:rPr>
          <w:rFonts w:ascii="Arial" w:cs="Arial" w:eastAsia="Arial" w:hAnsi="Arial"/>
          <w:sz w:val="18"/>
          <w:szCs w:val="18"/>
          <w:i w:val="1"/>
          <w:iCs w:val="1"/>
          <w:color w:val="auto"/>
        </w:rPr>
        <w:t>Sid</w:t>
      </w:r>
      <w:r>
        <w:rPr>
          <w:rFonts w:ascii="Arial" w:cs="Arial" w:eastAsia="Arial" w:hAnsi="Arial"/>
          <w:sz w:val="18"/>
          <w:szCs w:val="18"/>
          <w:color w:val="auto"/>
        </w:rPr>
        <w:t xml:space="preserve"> </w:t>
      </w:r>
      <w:r>
        <w:rPr>
          <w:rFonts w:ascii="Arial" w:cs="Arial" w:eastAsia="Arial" w:hAnsi="Arial"/>
          <w:sz w:val="18"/>
          <w:szCs w:val="18"/>
          <w:i w:val="1"/>
          <w:iCs w:val="1"/>
          <w:color w:val="auto"/>
        </w:rPr>
        <w:t>Meier’s Civilization® VI</w:t>
      </w:r>
      <w:r>
        <w:rPr>
          <w:rFonts w:ascii="Arial" w:cs="Arial" w:eastAsia="Arial" w:hAnsi="Arial"/>
          <w:sz w:val="18"/>
          <w:szCs w:val="18"/>
          <w:color w:val="auto"/>
        </w:rPr>
        <w:t>.</w:t>
      </w:r>
    </w:p>
    <w:p>
      <w:pPr>
        <w:spacing w:after="0" w:line="188" w:lineRule="exact"/>
        <w:rPr>
          <w:sz w:val="20"/>
          <w:szCs w:val="20"/>
          <w:color w:val="auto"/>
        </w:rPr>
      </w:pPr>
    </w:p>
    <w:p>
      <w:pPr>
        <w:jc w:val="both"/>
        <w:ind w:right="200"/>
        <w:spacing w:after="0" w:line="312" w:lineRule="auto"/>
        <w:rPr>
          <w:sz w:val="20"/>
          <w:szCs w:val="20"/>
          <w:color w:val="auto"/>
        </w:rPr>
      </w:pPr>
      <w:r>
        <w:rPr>
          <w:rFonts w:ascii="Arial" w:cs="Arial" w:eastAsia="Arial" w:hAnsi="Arial"/>
          <w:sz w:val="16"/>
          <w:szCs w:val="16"/>
          <w:color w:val="auto"/>
        </w:rPr>
        <w:t xml:space="preserve">Digitally-delivered net revenue grew to $594.7 million, as compared to $258.4 million in last year’s fiscal third quarter, and accounted for 48% of total net revenue. The largest contributors to digitally-delivered net revenue in fiscal third quarter 2019 were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and </w:t>
      </w:r>
      <w:r>
        <w:rPr>
          <w:rFonts w:ascii="Arial" w:cs="Arial" w:eastAsia="Arial" w:hAnsi="Arial"/>
          <w:sz w:val="16"/>
          <w:szCs w:val="16"/>
          <w:i w:val="1"/>
          <w:iCs w:val="1"/>
          <w:color w:val="auto"/>
        </w:rPr>
        <w:t>Grand Theft Auto V</w:t>
      </w:r>
      <w:r>
        <w:rPr>
          <w:rFonts w:ascii="Arial" w:cs="Arial" w:eastAsia="Arial" w:hAnsi="Arial"/>
          <w:sz w:val="16"/>
          <w:szCs w:val="16"/>
          <w:color w:val="auto"/>
        </w:rPr>
        <w:t>,</w:t>
      </w:r>
      <w:r>
        <w:rPr>
          <w:rFonts w:ascii="Arial" w:cs="Arial" w:eastAsia="Arial" w:hAnsi="Arial"/>
          <w:sz w:val="16"/>
          <w:szCs w:val="16"/>
          <w:i w:val="1"/>
          <w:iCs w:val="1"/>
          <w:color w:val="auto"/>
        </w:rPr>
        <w:t xml:space="preserve"> NBA 2K19 </w:t>
      </w:r>
      <w:r>
        <w:rPr>
          <w:rFonts w:ascii="Arial" w:cs="Arial" w:eastAsia="Arial" w:hAnsi="Arial"/>
          <w:sz w:val="16"/>
          <w:szCs w:val="16"/>
          <w:color w:val="auto"/>
        </w:rPr>
        <w:t>and</w:t>
      </w:r>
      <w:r>
        <w:rPr>
          <w:rFonts w:ascii="Arial" w:cs="Arial" w:eastAsia="Arial" w:hAnsi="Arial"/>
          <w:sz w:val="16"/>
          <w:szCs w:val="16"/>
          <w:i w:val="1"/>
          <w:iCs w:val="1"/>
          <w:color w:val="auto"/>
        </w:rPr>
        <w:t xml:space="preserve"> NBA 2K18</w:t>
      </w:r>
      <w:r>
        <w:rPr>
          <w:rFonts w:ascii="Arial" w:cs="Arial" w:eastAsia="Arial" w:hAnsi="Arial"/>
          <w:sz w:val="16"/>
          <w:szCs w:val="16"/>
          <w:color w:val="auto"/>
        </w:rPr>
        <w:t>,</w:t>
      </w:r>
      <w:r>
        <w:rPr>
          <w:rFonts w:ascii="Arial" w:cs="Arial" w:eastAsia="Arial" w:hAnsi="Arial"/>
          <w:sz w:val="16"/>
          <w:szCs w:val="16"/>
          <w:i w:val="1"/>
          <w:iCs w:val="1"/>
          <w:color w:val="auto"/>
        </w:rPr>
        <w:t xml:space="preserve"> WWE </w:t>
      </w:r>
      <w:r>
        <w:rPr>
          <w:rFonts w:ascii="Arial" w:cs="Arial" w:eastAsia="Arial" w:hAnsi="Arial"/>
          <w:sz w:val="16"/>
          <w:szCs w:val="16"/>
          <w:color w:val="auto"/>
        </w:rPr>
        <w:t>2K19 and</w:t>
      </w:r>
      <w:r>
        <w:rPr>
          <w:rFonts w:ascii="Arial" w:cs="Arial" w:eastAsia="Arial" w:hAnsi="Arial"/>
          <w:sz w:val="16"/>
          <w:szCs w:val="16"/>
          <w:i w:val="1"/>
          <w:iCs w:val="1"/>
          <w:color w:val="auto"/>
        </w:rPr>
        <w:t xml:space="preserve"> WWE SuperCard</w:t>
      </w:r>
      <w:r>
        <w:rPr>
          <w:rFonts w:ascii="Arial" w:cs="Arial" w:eastAsia="Arial" w:hAnsi="Arial"/>
          <w:sz w:val="16"/>
          <w:szCs w:val="16"/>
          <w:color w:val="auto"/>
        </w:rPr>
        <w:t>,</w:t>
      </w:r>
      <w:r>
        <w:rPr>
          <w:rFonts w:ascii="Arial" w:cs="Arial" w:eastAsia="Arial" w:hAnsi="Arial"/>
          <w:sz w:val="16"/>
          <w:szCs w:val="16"/>
          <w:i w:val="1"/>
          <w:iCs w:val="1"/>
          <w:color w:val="auto"/>
        </w:rPr>
        <w:t xml:space="preserve"> Monster Legends </w:t>
      </w:r>
      <w:r>
        <w:rPr>
          <w:rFonts w:ascii="Arial" w:cs="Arial" w:eastAsia="Arial" w:hAnsi="Arial"/>
          <w:sz w:val="16"/>
          <w:szCs w:val="16"/>
          <w:color w:val="auto"/>
        </w:rPr>
        <w:t>and</w:t>
      </w:r>
      <w:r>
        <w:rPr>
          <w:rFonts w:ascii="Arial" w:cs="Arial" w:eastAsia="Arial" w:hAnsi="Arial"/>
          <w:sz w:val="16"/>
          <w:szCs w:val="16"/>
          <w:i w:val="1"/>
          <w:iCs w:val="1"/>
          <w:color w:val="auto"/>
        </w:rPr>
        <w:t xml:space="preserve"> Dragon City</w:t>
      </w:r>
      <w:r>
        <w:rPr>
          <w:rFonts w:ascii="Arial" w:cs="Arial" w:eastAsia="Arial" w:hAnsi="Arial"/>
          <w:sz w:val="16"/>
          <w:szCs w:val="16"/>
          <w:color w:val="auto"/>
        </w:rPr>
        <w:t>, and</w:t>
      </w:r>
      <w:r>
        <w:rPr>
          <w:rFonts w:ascii="Arial" w:cs="Arial" w:eastAsia="Arial" w:hAnsi="Arial"/>
          <w:sz w:val="16"/>
          <w:szCs w:val="16"/>
          <w:i w:val="1"/>
          <w:iCs w:val="1"/>
          <w:color w:val="auto"/>
        </w:rPr>
        <w:t xml:space="preserve"> Sid Meier’s Civilization VI</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168910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5" w:name="page6"/>
    <w:bookmarkEnd w:id="5"/>
    <w:p>
      <w:pPr>
        <w:ind w:right="100"/>
        <w:spacing w:after="0" w:line="259" w:lineRule="auto"/>
        <w:rPr>
          <w:sz w:val="20"/>
          <w:szCs w:val="20"/>
          <w:color w:val="auto"/>
        </w:rPr>
      </w:pPr>
      <w:r>
        <w:rPr>
          <w:rFonts w:ascii="Arial" w:cs="Arial" w:eastAsia="Arial" w:hAnsi="Arial"/>
          <w:sz w:val="18"/>
          <w:szCs w:val="18"/>
          <w:color w:val="auto"/>
        </w:rPr>
        <w:t>Net income increased to $179.9 million, or $1.57 per diluted share, as compared to $25.1 million, or $0.21 per diluted share, for the comparable period last year. Net income included a favorable impact from the release of certain valuation allowances on the Company’s deferred tax assets resulting in the recognition of a $108.7 million tax benefit in the quarter. Without the release of the valuation allowances, the third quarter tax benefit would have been $11.3 million.</w:t>
      </w:r>
    </w:p>
    <w:p>
      <w:pPr>
        <w:spacing w:after="0" w:line="18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During the 9-month period ended December 31, 2018, net cash provided by operating activities grew 62% to $390.2 million, as compared to $241.1 million in the same period last year. During the 9-month period ended December 31, 2018, Adjusted Operating Cash Flow (Non-GAAP), which is defined as GAAP net cash from operating activities, adjusted for changes in restricted cash, grew 188% to $587.0 million, as compared to $204.1 million in the same period last year (please see the section below titled “Non-GAAP Financial Measure” for additional information). As of December 31, 2018, the Company had cash and short-term investments of $1.601 billion.</w:t>
      </w:r>
    </w:p>
    <w:p>
      <w:pPr>
        <w:spacing w:after="0" w:line="188"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 following data, together with a management reporting tax rate of 20%, are used internally by the Company’s management and Board of Directors to adjust the Company’s GAAP financial results in order to facilitate comparison of its operating performance between periods and to better understand its core business and future outlook:</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300" w:type="dxa"/>
            <w:vAlign w:val="bottom"/>
            <w:tcBorders>
              <w:bottom w:val="single" w:sz="8" w:color="auto"/>
            </w:tcBorders>
            <w:gridSpan w:val="4"/>
          </w:tcPr>
          <w:p>
            <w:pPr>
              <w:jc w:val="right"/>
              <w:ind w:right="520"/>
              <w:spacing w:after="0"/>
              <w:rPr>
                <w:sz w:val="20"/>
                <w:szCs w:val="20"/>
                <w:color w:val="auto"/>
              </w:rPr>
            </w:pPr>
            <w:r>
              <w:rPr>
                <w:rFonts w:ascii="Arial" w:cs="Arial" w:eastAsia="Arial" w:hAnsi="Arial"/>
                <w:sz w:val="14"/>
                <w:szCs w:val="14"/>
                <w:b w:val="1"/>
                <w:bCs w:val="1"/>
                <w:color w:val="auto"/>
              </w:rPr>
              <w:t>Three Months Ended December 31, 2018</w:t>
            </w:r>
          </w:p>
        </w:tc>
        <w:tc>
          <w:tcPr>
            <w:tcW w:w="11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860" w:type="dxa"/>
            <w:vAlign w:val="bottom"/>
            <w:tcBorders>
              <w:bottom w:val="single" w:sz="8" w:color="auto"/>
            </w:tcBorders>
            <w:gridSpan w:val="4"/>
          </w:tcPr>
          <w:p>
            <w:pPr>
              <w:jc w:val="right"/>
              <w:ind w:right="1180"/>
              <w:spacing w:after="0" w:line="142" w:lineRule="exact"/>
              <w:rPr>
                <w:sz w:val="20"/>
                <w:szCs w:val="20"/>
                <w:color w:val="auto"/>
              </w:rPr>
            </w:pPr>
            <w:r>
              <w:rPr>
                <w:rFonts w:ascii="Arial" w:cs="Arial" w:eastAsia="Arial" w:hAnsi="Arial"/>
                <w:sz w:val="14"/>
                <w:szCs w:val="14"/>
                <w:b w:val="1"/>
                <w:bCs w:val="1"/>
                <w:color w:val="auto"/>
              </w:rPr>
              <w:t>Financial Data</w:t>
            </w:r>
          </w:p>
        </w:tc>
        <w:tc>
          <w:tcPr>
            <w:tcW w:w="148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3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80" w:type="dxa"/>
            <w:vAlign w:val="bottom"/>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rPr>
              <w:t>Change in deferred</w:t>
            </w:r>
          </w:p>
        </w:tc>
        <w:tc>
          <w:tcPr>
            <w:tcW w:w="11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Impact of</w:t>
            </w:r>
          </w:p>
        </w:tc>
        <w:tc>
          <w:tcPr>
            <w:tcW w:w="148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rPr>
              <w:t>Amortization &amp;</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8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4"/>
              </w:rPr>
              <w:t>Statement of</w:t>
            </w:r>
          </w:p>
        </w:tc>
        <w:tc>
          <w:tcPr>
            <w:tcW w:w="18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net revenue and</w:t>
            </w:r>
          </w:p>
        </w:tc>
        <w:tc>
          <w:tcPr>
            <w:tcW w:w="142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rPr>
              <w:t>Stock-based</w:t>
            </w:r>
          </w:p>
        </w:tc>
        <w:tc>
          <w:tcPr>
            <w:tcW w:w="1440" w:type="dxa"/>
            <w:vAlign w:val="bottom"/>
            <w:gridSpan w:val="2"/>
            <w:vMerge w:val="continue"/>
          </w:tcPr>
          <w:p>
            <w:pPr>
              <w:spacing w:after="0"/>
              <w:rPr>
                <w:sz w:val="12"/>
                <w:szCs w:val="12"/>
                <w:color w:val="auto"/>
              </w:rPr>
            </w:pPr>
          </w:p>
        </w:tc>
        <w:tc>
          <w:tcPr>
            <w:tcW w:w="16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impairment of</w:t>
            </w:r>
          </w:p>
        </w:tc>
        <w:tc>
          <w:tcPr>
            <w:tcW w:w="0" w:type="dxa"/>
            <w:vAlign w:val="bottom"/>
          </w:tcPr>
          <w:p>
            <w:pPr>
              <w:spacing w:after="0"/>
              <w:rPr>
                <w:sz w:val="1"/>
                <w:szCs w:val="1"/>
                <w:color w:val="auto"/>
              </w:rPr>
            </w:pPr>
          </w:p>
        </w:tc>
      </w:tr>
      <w:tr>
        <w:trPr>
          <w:trHeight w:val="149"/>
        </w:trPr>
        <w:tc>
          <w:tcPr>
            <w:tcW w:w="36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 in thousands</w:t>
            </w:r>
          </w:p>
        </w:tc>
        <w:tc>
          <w:tcPr>
            <w:tcW w:w="140" w:type="dxa"/>
            <w:vAlign w:val="bottom"/>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8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related cost of</w:t>
            </w:r>
          </w:p>
        </w:tc>
        <w:tc>
          <w:tcPr>
            <w:tcW w:w="1420" w:type="dxa"/>
            <w:vAlign w:val="bottom"/>
            <w:gridSpan w:val="2"/>
            <w:vMerge w:val="continue"/>
          </w:tcPr>
          <w:p>
            <w:pPr>
              <w:spacing w:after="0"/>
              <w:rPr>
                <w:sz w:val="12"/>
                <w:szCs w:val="12"/>
                <w:color w:val="auto"/>
              </w:rPr>
            </w:pPr>
          </w:p>
        </w:tc>
        <w:tc>
          <w:tcPr>
            <w:tcW w:w="14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business</w:t>
            </w:r>
          </w:p>
        </w:tc>
        <w:tc>
          <w:tcPr>
            <w:tcW w:w="16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acquired</w:t>
            </w:r>
          </w:p>
        </w:tc>
        <w:tc>
          <w:tcPr>
            <w:tcW w:w="0" w:type="dxa"/>
            <w:vAlign w:val="bottom"/>
          </w:tcPr>
          <w:p>
            <w:pPr>
              <w:spacing w:after="0"/>
              <w:rPr>
                <w:sz w:val="1"/>
                <w:szCs w:val="1"/>
                <w:color w:val="auto"/>
              </w:rPr>
            </w:pPr>
          </w:p>
        </w:tc>
      </w:tr>
      <w:tr>
        <w:trPr>
          <w:trHeight w:val="171"/>
        </w:trPr>
        <w:tc>
          <w:tcPr>
            <w:tcW w:w="366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28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operations</w:t>
            </w:r>
          </w:p>
        </w:tc>
        <w:tc>
          <w:tcPr>
            <w:tcW w:w="18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goods sold</w:t>
            </w:r>
          </w:p>
        </w:tc>
        <w:tc>
          <w:tcPr>
            <w:tcW w:w="14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compensation</w:t>
            </w: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reorganization</w:t>
            </w: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7"/>
              </w:rPr>
              <w:t>intangible assets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3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1,248,738</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319,829</w:t>
            </w: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color w:val="auto"/>
              </w:rPr>
              <w:t>Cost of goods sold</w:t>
            </w:r>
          </w:p>
        </w:tc>
        <w:tc>
          <w:tcPr>
            <w:tcW w:w="14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color w:val="auto"/>
              </w:rPr>
              <w:t>898,484</w:t>
            </w:r>
          </w:p>
        </w:tc>
        <w:tc>
          <w:tcPr>
            <w:tcW w:w="1600" w:type="dxa"/>
            <w:vAlign w:val="bottom"/>
          </w:tcPr>
          <w:p>
            <w:pPr>
              <w:jc w:val="right"/>
              <w:spacing w:after="0"/>
              <w:rPr>
                <w:sz w:val="20"/>
                <w:szCs w:val="20"/>
                <w:color w:val="auto"/>
              </w:rPr>
            </w:pPr>
            <w:r>
              <w:rPr>
                <w:rFonts w:ascii="Arial" w:cs="Arial" w:eastAsia="Arial" w:hAnsi="Arial"/>
                <w:sz w:val="18"/>
                <w:szCs w:val="18"/>
                <w:color w:val="auto"/>
              </w:rPr>
              <w:t>87,011</w:t>
            </w:r>
          </w:p>
        </w:tc>
        <w:tc>
          <w:tcPr>
            <w:tcW w:w="28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(96,082)</w:t>
            </w: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(3,630)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3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b w:val="1"/>
                <w:bCs w:val="1"/>
                <w:color w:val="auto"/>
              </w:rPr>
              <w:t>Gross profit</w:t>
            </w:r>
          </w:p>
        </w:tc>
        <w:tc>
          <w:tcPr>
            <w:tcW w:w="14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350,254</w:t>
            </w:r>
          </w:p>
        </w:tc>
        <w:tc>
          <w:tcPr>
            <w:tcW w:w="1600" w:type="dxa"/>
            <w:vAlign w:val="bottom"/>
          </w:tcPr>
          <w:p>
            <w:pPr>
              <w:jc w:val="right"/>
              <w:spacing w:after="0"/>
              <w:rPr>
                <w:sz w:val="20"/>
                <w:szCs w:val="20"/>
                <w:color w:val="auto"/>
              </w:rPr>
            </w:pPr>
            <w:r>
              <w:rPr>
                <w:rFonts w:ascii="Arial" w:cs="Arial" w:eastAsia="Arial" w:hAnsi="Arial"/>
                <w:sz w:val="18"/>
                <w:szCs w:val="18"/>
                <w:b w:val="1"/>
                <w:bCs w:val="1"/>
                <w:color w:val="auto"/>
              </w:rPr>
              <w:t>232,818</w:t>
            </w:r>
          </w:p>
        </w:tc>
        <w:tc>
          <w:tcPr>
            <w:tcW w:w="28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96,082</w:t>
            </w:r>
          </w:p>
        </w:tc>
        <w:tc>
          <w:tcPr>
            <w:tcW w:w="11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3,630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color w:val="auto"/>
              </w:rPr>
              <w:t>Operating expenses</w:t>
            </w:r>
          </w:p>
        </w:tc>
        <w:tc>
          <w:tcPr>
            <w:tcW w:w="14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color w:val="auto"/>
              </w:rPr>
              <w:t>298,475</w:t>
            </w:r>
          </w:p>
        </w:tc>
        <w:tc>
          <w:tcPr>
            <w:tcW w:w="1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(27,586)</w:t>
            </w:r>
          </w:p>
        </w:tc>
        <w:tc>
          <w:tcPr>
            <w:tcW w:w="1140" w:type="dxa"/>
            <w:vAlign w:val="bottom"/>
          </w:tcPr>
          <w:p>
            <w:pPr>
              <w:jc w:val="right"/>
              <w:spacing w:after="0"/>
              <w:rPr>
                <w:sz w:val="20"/>
                <w:szCs w:val="20"/>
                <w:color w:val="auto"/>
              </w:rPr>
            </w:pPr>
            <w:r>
              <w:rPr>
                <w:rFonts w:ascii="Arial" w:cs="Arial" w:eastAsia="Arial" w:hAnsi="Arial"/>
                <w:sz w:val="18"/>
                <w:szCs w:val="18"/>
                <w:color w:val="auto"/>
              </w:rPr>
              <w:t>5,930</w:t>
            </w:r>
          </w:p>
        </w:tc>
        <w:tc>
          <w:tcPr>
            <w:tcW w:w="300" w:type="dxa"/>
            <w:vAlign w:val="bottom"/>
          </w:tcPr>
          <w:p>
            <w:pPr>
              <w:spacing w:after="0"/>
              <w:rPr>
                <w:sz w:val="18"/>
                <w:szCs w:val="18"/>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(1,710)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36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b w:val="1"/>
                <w:bCs w:val="1"/>
                <w:color w:val="auto"/>
              </w:rPr>
              <w:t>Income from operations</w:t>
            </w:r>
          </w:p>
        </w:tc>
        <w:tc>
          <w:tcPr>
            <w:tcW w:w="140" w:type="dxa"/>
            <w:vAlign w:val="bottom"/>
          </w:tcPr>
          <w:p>
            <w:pPr>
              <w:spacing w:after="0"/>
              <w:rPr>
                <w:sz w:val="18"/>
                <w:szCs w:val="18"/>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51,779</w:t>
            </w:r>
          </w:p>
        </w:tc>
        <w:tc>
          <w:tcPr>
            <w:tcW w:w="1600" w:type="dxa"/>
            <w:vAlign w:val="bottom"/>
          </w:tcPr>
          <w:p>
            <w:pPr>
              <w:jc w:val="right"/>
              <w:spacing w:after="0"/>
              <w:rPr>
                <w:sz w:val="20"/>
                <w:szCs w:val="20"/>
                <w:color w:val="auto"/>
              </w:rPr>
            </w:pPr>
            <w:r>
              <w:rPr>
                <w:rFonts w:ascii="Arial" w:cs="Arial" w:eastAsia="Arial" w:hAnsi="Arial"/>
                <w:sz w:val="18"/>
                <w:szCs w:val="18"/>
                <w:b w:val="1"/>
                <w:bCs w:val="1"/>
                <w:color w:val="auto"/>
              </w:rPr>
              <w:t>232,818</w:t>
            </w:r>
          </w:p>
        </w:tc>
        <w:tc>
          <w:tcPr>
            <w:tcW w:w="28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123,668</w:t>
            </w:r>
          </w:p>
        </w:tc>
        <w:tc>
          <w:tcPr>
            <w:tcW w:w="144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(5,930)</w:t>
            </w:r>
          </w:p>
        </w:tc>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5,340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and other, net</w:t>
            </w:r>
          </w:p>
        </w:tc>
        <w:tc>
          <w:tcPr>
            <w:tcW w:w="1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8,071</w:t>
            </w: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(313)</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640" w:type="dxa"/>
            <w:vAlign w:val="bottom"/>
            <w:gridSpan w:val="2"/>
          </w:tcPr>
          <w:p>
            <w:pPr>
              <w:spacing w:after="0"/>
              <w:rPr>
                <w:sz w:val="20"/>
                <w:szCs w:val="20"/>
                <w:color w:val="auto"/>
              </w:rPr>
            </w:pPr>
            <w:r>
              <w:rPr>
                <w:rFonts w:ascii="Arial" w:cs="Arial" w:eastAsia="Arial" w:hAnsi="Arial"/>
                <w:sz w:val="18"/>
                <w:szCs w:val="18"/>
                <w:b w:val="1"/>
                <w:bCs w:val="1"/>
                <w:color w:val="auto"/>
              </w:rPr>
              <w:t>Income before income taxes</w:t>
            </w:r>
          </w:p>
        </w:tc>
        <w:tc>
          <w:tcPr>
            <w:tcW w:w="14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59,850</w:t>
            </w:r>
          </w:p>
        </w:tc>
        <w:tc>
          <w:tcPr>
            <w:tcW w:w="300" w:type="dxa"/>
            <w:vAlign w:val="bottom"/>
          </w:tcPr>
          <w:p>
            <w:pPr>
              <w:spacing w:after="0"/>
              <w:rPr>
                <w:sz w:val="19"/>
                <w:szCs w:val="19"/>
                <w:color w:val="auto"/>
              </w:rPr>
            </w:pP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232,505</w:t>
            </w:r>
          </w:p>
        </w:tc>
        <w:tc>
          <w:tcPr>
            <w:tcW w:w="280" w:type="dxa"/>
            <w:vAlign w:val="bottom"/>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123,668</w:t>
            </w:r>
          </w:p>
        </w:tc>
        <w:tc>
          <w:tcPr>
            <w:tcW w:w="280" w:type="dxa"/>
            <w:vAlign w:val="bottom"/>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(5,930)</w:t>
            </w:r>
          </w:p>
        </w:tc>
        <w:tc>
          <w:tcPr>
            <w:tcW w:w="300" w:type="dxa"/>
            <w:vAlign w:val="bottom"/>
          </w:tcPr>
          <w:p>
            <w:pPr>
              <w:spacing w:after="0"/>
              <w:rPr>
                <w:sz w:val="19"/>
                <w:szCs w:val="19"/>
                <w:color w:val="auto"/>
              </w:rPr>
            </w:pP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5,340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In order to calculate net income per diluted share for management reporting purposes, the Company uses its fully diluted share count of 114.7 million.</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Operational Metric — Net Bookings</w:t>
      </w:r>
    </w:p>
    <w:p>
      <w:pPr>
        <w:spacing w:after="0" w:line="229" w:lineRule="exact"/>
        <w:rPr>
          <w:sz w:val="20"/>
          <w:szCs w:val="20"/>
          <w:color w:val="auto"/>
        </w:rPr>
      </w:pPr>
    </w:p>
    <w:p>
      <w:pPr>
        <w:ind w:right="700"/>
        <w:spacing w:after="0" w:line="277" w:lineRule="auto"/>
        <w:rPr>
          <w:sz w:val="20"/>
          <w:szCs w:val="20"/>
          <w:color w:val="auto"/>
        </w:rPr>
      </w:pPr>
      <w:r>
        <w:rPr>
          <w:rFonts w:ascii="Arial" w:cs="Arial" w:eastAsia="Arial" w:hAnsi="Arial"/>
          <w:sz w:val="18"/>
          <w:szCs w:val="18"/>
          <w:color w:val="auto"/>
        </w:rPr>
        <w:t>Net Bookings is defined as the net amount of products and services sold digitally or sold-in physically during the period, and includes licensing fees, merchandise, in-game advertising, strategy guides and publisher incentives.</w:t>
      </w:r>
    </w:p>
    <w:p>
      <w:pPr>
        <w:spacing w:after="0" w:line="17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 xml:space="preserve">During fiscal third quarter 2019, total Net Bookings grew 140% to $1.569 billion, as compared to $653.9 million during last year’s fiscal third quarter. Net Bookings from recurrent consumer spending grew 31% and accounted for 22% of total Net Bookings. The largest contributors to Net Bookings in fiscal third quarter 2019 were </w:t>
      </w:r>
      <w:r>
        <w:rPr>
          <w:rFonts w:ascii="Arial" w:cs="Arial" w:eastAsia="Arial" w:hAnsi="Arial"/>
          <w:sz w:val="18"/>
          <w:szCs w:val="18"/>
          <w:i w:val="1"/>
          <w:iCs w:val="1"/>
          <w:color w:val="auto"/>
        </w:rPr>
        <w:t>Red Dead Redemption 2</w:t>
      </w:r>
      <w:r>
        <w:rPr>
          <w:rFonts w:ascii="Arial" w:cs="Arial" w:eastAsia="Arial" w:hAnsi="Arial"/>
          <w:sz w:val="18"/>
          <w:szCs w:val="18"/>
          <w:color w:val="auto"/>
        </w:rPr>
        <w:t xml:space="preserve">, </w:t>
      </w:r>
      <w:r>
        <w:rPr>
          <w:rFonts w:ascii="Arial" w:cs="Arial" w:eastAsia="Arial" w:hAnsi="Arial"/>
          <w:sz w:val="18"/>
          <w:szCs w:val="18"/>
          <w:i w:val="1"/>
          <w:iCs w:val="1"/>
          <w:color w:val="auto"/>
        </w:rPr>
        <w:t>NBA 2K19</w:t>
      </w:r>
      <w:r>
        <w:rPr>
          <w:rFonts w:ascii="Arial" w:cs="Arial" w:eastAsia="Arial" w:hAnsi="Arial"/>
          <w:sz w:val="18"/>
          <w:szCs w:val="18"/>
          <w:color w:val="auto"/>
        </w:rPr>
        <w:t xml:space="preserve">,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w:t>
      </w:r>
      <w:r>
        <w:rPr>
          <w:rFonts w:ascii="Arial" w:cs="Arial" w:eastAsia="Arial" w:hAnsi="Arial"/>
          <w:sz w:val="18"/>
          <w:szCs w:val="18"/>
          <w:i w:val="1"/>
          <w:iCs w:val="1"/>
          <w:color w:val="auto"/>
        </w:rPr>
        <w:t>WWE 2K19</w:t>
      </w:r>
      <w:r>
        <w:rPr>
          <w:rFonts w:ascii="Arial" w:cs="Arial" w:eastAsia="Arial" w:hAnsi="Arial"/>
          <w:sz w:val="18"/>
          <w:szCs w:val="18"/>
          <w:color w:val="auto"/>
        </w:rPr>
        <w:t xml:space="preserve"> and </w:t>
      </w:r>
      <w:r>
        <w:rPr>
          <w:rFonts w:ascii="Arial" w:cs="Arial" w:eastAsia="Arial" w:hAnsi="Arial"/>
          <w:sz w:val="18"/>
          <w:szCs w:val="18"/>
          <w:i w:val="1"/>
          <w:iCs w:val="1"/>
          <w:color w:val="auto"/>
        </w:rPr>
        <w:t>WWE SuperCard</w:t>
      </w:r>
      <w:r>
        <w:rPr>
          <w:rFonts w:ascii="Arial" w:cs="Arial" w:eastAsia="Arial" w:hAnsi="Arial"/>
          <w:sz w:val="18"/>
          <w:szCs w:val="18"/>
          <w:color w:val="auto"/>
        </w:rPr>
        <w:t xml:space="preserve">,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and </w:t>
      </w:r>
      <w:r>
        <w:rPr>
          <w:rFonts w:ascii="Arial" w:cs="Arial" w:eastAsia="Arial" w:hAnsi="Arial"/>
          <w:sz w:val="18"/>
          <w:szCs w:val="18"/>
          <w:i w:val="1"/>
          <w:iCs w:val="1"/>
          <w:color w:val="auto"/>
        </w:rPr>
        <w:t>Monster Legends</w:t>
      </w:r>
      <w:r>
        <w:rPr>
          <w:rFonts w:ascii="Arial" w:cs="Arial" w:eastAsia="Arial" w:hAnsi="Arial"/>
          <w:sz w:val="18"/>
          <w:szCs w:val="18"/>
          <w:color w:val="auto"/>
        </w:rPr>
        <w:t xml:space="preserve">, and </w:t>
      </w:r>
      <w:r>
        <w:rPr>
          <w:rFonts w:ascii="Arial" w:cs="Arial" w:eastAsia="Arial" w:hAnsi="Arial"/>
          <w:sz w:val="18"/>
          <w:szCs w:val="18"/>
          <w:i w:val="1"/>
          <w:iCs w:val="1"/>
          <w:color w:val="auto"/>
        </w:rPr>
        <w:t>Sid Meier’s Civilization VI</w:t>
      </w:r>
      <w:r>
        <w:rPr>
          <w:rFonts w:ascii="Arial" w:cs="Arial" w:eastAsia="Arial" w:hAnsi="Arial"/>
          <w:sz w:val="18"/>
          <w:szCs w:val="18"/>
          <w:color w:val="auto"/>
        </w:rPr>
        <w:t>.</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Catalog accounted for $243.9 million of Net Bookings led by </w:t>
      </w:r>
      <w:r>
        <w:rPr>
          <w:rFonts w:ascii="Arial" w:cs="Arial" w:eastAsia="Arial" w:hAnsi="Arial"/>
          <w:sz w:val="17"/>
          <w:szCs w:val="17"/>
          <w:i w:val="1"/>
          <w:iCs w:val="1"/>
          <w:color w:val="auto"/>
        </w:rPr>
        <w:t>Grand Theft Auto</w:t>
      </w:r>
      <w:r>
        <w:rPr>
          <w:rFonts w:ascii="Arial" w:cs="Arial" w:eastAsia="Arial" w:hAnsi="Arial"/>
          <w:sz w:val="17"/>
          <w:szCs w:val="17"/>
          <w:color w:val="auto"/>
        </w:rPr>
        <w:t xml:space="preserve">, </w:t>
      </w:r>
      <w:r>
        <w:rPr>
          <w:rFonts w:ascii="Arial" w:cs="Arial" w:eastAsia="Arial" w:hAnsi="Arial"/>
          <w:sz w:val="17"/>
          <w:szCs w:val="17"/>
          <w:i w:val="1"/>
          <w:iCs w:val="1"/>
          <w:color w:val="auto"/>
        </w:rPr>
        <w:t>Dragon City</w:t>
      </w:r>
      <w:r>
        <w:rPr>
          <w:rFonts w:ascii="Arial" w:cs="Arial" w:eastAsia="Arial" w:hAnsi="Arial"/>
          <w:sz w:val="17"/>
          <w:szCs w:val="17"/>
          <w:color w:val="auto"/>
        </w:rPr>
        <w:t xml:space="preserve"> and </w:t>
      </w:r>
      <w:r>
        <w:rPr>
          <w:rFonts w:ascii="Arial" w:cs="Arial" w:eastAsia="Arial" w:hAnsi="Arial"/>
          <w:sz w:val="17"/>
          <w:szCs w:val="17"/>
          <w:i w:val="1"/>
          <w:iCs w:val="1"/>
          <w:color w:val="auto"/>
        </w:rPr>
        <w:t>Monster Legends</w:t>
      </w:r>
      <w:r>
        <w:rPr>
          <w:rFonts w:ascii="Arial" w:cs="Arial" w:eastAsia="Arial" w:hAnsi="Arial"/>
          <w:sz w:val="17"/>
          <w:szCs w:val="17"/>
          <w:color w:val="auto"/>
        </w:rPr>
        <w:t xml:space="preserve">, and </w:t>
      </w:r>
      <w:r>
        <w:rPr>
          <w:rFonts w:ascii="Arial" w:cs="Arial" w:eastAsia="Arial" w:hAnsi="Arial"/>
          <w:sz w:val="17"/>
          <w:szCs w:val="17"/>
          <w:i w:val="1"/>
          <w:iCs w:val="1"/>
          <w:color w:val="auto"/>
        </w:rPr>
        <w:t>Sid Meier’s Civilization VI</w:t>
      </w:r>
      <w:r>
        <w:rPr>
          <w:rFonts w:ascii="Arial" w:cs="Arial" w:eastAsia="Arial" w:hAnsi="Arial"/>
          <w:sz w:val="17"/>
          <w:szCs w:val="17"/>
          <w:color w:val="auto"/>
        </w:rPr>
        <w:t>.</w:t>
      </w:r>
    </w:p>
    <w:p>
      <w:pPr>
        <w:spacing w:after="0" w:line="237"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 xml:space="preserve">Digitally-delivered Net Bookings grew 85% to $703.8 million, as compared to $379.7 million in last year’s fiscal third quarter, and accounted for 45% of total Net Bookings. The largest contributors to digitally-delivered Net Bookings in fiscal third quarter 2019 were </w:t>
      </w:r>
      <w:r>
        <w:rPr>
          <w:rFonts w:ascii="Arial" w:cs="Arial" w:eastAsia="Arial" w:hAnsi="Arial"/>
          <w:sz w:val="17"/>
          <w:szCs w:val="17"/>
          <w:i w:val="1"/>
          <w:iCs w:val="1"/>
          <w:color w:val="auto"/>
        </w:rPr>
        <w:t>Red Dead Redemption 2</w:t>
      </w:r>
      <w:r>
        <w:rPr>
          <w:rFonts w:ascii="Arial" w:cs="Arial" w:eastAsia="Arial" w:hAnsi="Arial"/>
          <w:sz w:val="17"/>
          <w:szCs w:val="17"/>
          <w:color w:val="auto"/>
        </w:rPr>
        <w:t xml:space="preserve">, </w:t>
      </w:r>
      <w:r>
        <w:rPr>
          <w:rFonts w:ascii="Arial" w:cs="Arial" w:eastAsia="Arial" w:hAnsi="Arial"/>
          <w:sz w:val="17"/>
          <w:szCs w:val="17"/>
          <w:i w:val="1"/>
          <w:iCs w:val="1"/>
          <w:color w:val="auto"/>
        </w:rPr>
        <w:t>NBA 2K19</w:t>
      </w:r>
      <w:r>
        <w:rPr>
          <w:rFonts w:ascii="Arial" w:cs="Arial" w:eastAsia="Arial" w:hAnsi="Arial"/>
          <w:sz w:val="17"/>
          <w:szCs w:val="17"/>
          <w:color w:val="auto"/>
        </w:rPr>
        <w:t xml:space="preserve">, </w:t>
      </w:r>
      <w:r>
        <w:rPr>
          <w:rFonts w:ascii="Arial" w:cs="Arial" w:eastAsia="Arial" w:hAnsi="Arial"/>
          <w:sz w:val="17"/>
          <w:szCs w:val="17"/>
          <w:i w:val="1"/>
          <w:iCs w:val="1"/>
          <w:color w:val="auto"/>
        </w:rPr>
        <w:t>Grand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Theft Auto Online </w:t>
      </w:r>
      <w:r>
        <w:rPr>
          <w:rFonts w:ascii="Arial" w:cs="Arial" w:eastAsia="Arial" w:hAnsi="Arial"/>
          <w:sz w:val="17"/>
          <w:szCs w:val="17"/>
          <w:color w:val="auto"/>
        </w:rPr>
        <w:t>and</w:t>
      </w:r>
      <w:r>
        <w:rPr>
          <w:rFonts w:ascii="Arial" w:cs="Arial" w:eastAsia="Arial" w:hAnsi="Arial"/>
          <w:sz w:val="17"/>
          <w:szCs w:val="17"/>
          <w:i w:val="1"/>
          <w:iCs w:val="1"/>
          <w:color w:val="auto"/>
        </w:rPr>
        <w:t xml:space="preserve"> Grand Theft Auto V</w:t>
      </w:r>
      <w:r>
        <w:rPr>
          <w:rFonts w:ascii="Arial" w:cs="Arial" w:eastAsia="Arial" w:hAnsi="Arial"/>
          <w:sz w:val="17"/>
          <w:szCs w:val="17"/>
          <w:color w:val="auto"/>
        </w:rPr>
        <w:t>,</w:t>
      </w:r>
      <w:r>
        <w:rPr>
          <w:rFonts w:ascii="Arial" w:cs="Arial" w:eastAsia="Arial" w:hAnsi="Arial"/>
          <w:sz w:val="17"/>
          <w:szCs w:val="17"/>
          <w:i w:val="1"/>
          <w:iCs w:val="1"/>
          <w:color w:val="auto"/>
        </w:rPr>
        <w:t xml:space="preserve"> WWE SuperCard </w:t>
      </w:r>
      <w:r>
        <w:rPr>
          <w:rFonts w:ascii="Arial" w:cs="Arial" w:eastAsia="Arial" w:hAnsi="Arial"/>
          <w:sz w:val="17"/>
          <w:szCs w:val="17"/>
          <w:color w:val="auto"/>
        </w:rPr>
        <w:t>and</w:t>
      </w:r>
      <w:r>
        <w:rPr>
          <w:rFonts w:ascii="Arial" w:cs="Arial" w:eastAsia="Arial" w:hAnsi="Arial"/>
          <w:sz w:val="17"/>
          <w:szCs w:val="17"/>
          <w:i w:val="1"/>
          <w:iCs w:val="1"/>
          <w:color w:val="auto"/>
        </w:rPr>
        <w:t xml:space="preserve"> WWE 2K19</w:t>
      </w:r>
      <w:r>
        <w:rPr>
          <w:rFonts w:ascii="Arial" w:cs="Arial" w:eastAsia="Arial" w:hAnsi="Arial"/>
          <w:sz w:val="17"/>
          <w:szCs w:val="17"/>
          <w:color w:val="auto"/>
        </w:rPr>
        <w:t>,</w:t>
      </w:r>
      <w:r>
        <w:rPr>
          <w:rFonts w:ascii="Arial" w:cs="Arial" w:eastAsia="Arial" w:hAnsi="Arial"/>
          <w:sz w:val="17"/>
          <w:szCs w:val="17"/>
          <w:i w:val="1"/>
          <w:iCs w:val="1"/>
          <w:color w:val="auto"/>
        </w:rPr>
        <w:t xml:space="preserve"> Monster Legends </w:t>
      </w:r>
      <w:r>
        <w:rPr>
          <w:rFonts w:ascii="Arial" w:cs="Arial" w:eastAsia="Arial" w:hAnsi="Arial"/>
          <w:sz w:val="17"/>
          <w:szCs w:val="17"/>
          <w:color w:val="auto"/>
        </w:rPr>
        <w:t>and</w:t>
      </w:r>
      <w:r>
        <w:rPr>
          <w:rFonts w:ascii="Arial" w:cs="Arial" w:eastAsia="Arial" w:hAnsi="Arial"/>
          <w:sz w:val="17"/>
          <w:szCs w:val="17"/>
          <w:i w:val="1"/>
          <w:iCs w:val="1"/>
          <w:color w:val="auto"/>
        </w:rPr>
        <w:t xml:space="preserve"> Dragon City</w:t>
      </w:r>
      <w:r>
        <w:rPr>
          <w:rFonts w:ascii="Arial" w:cs="Arial" w:eastAsia="Arial" w:hAnsi="Arial"/>
          <w:sz w:val="17"/>
          <w:szCs w:val="17"/>
          <w:color w:val="auto"/>
        </w:rPr>
        <w:t>, and</w:t>
      </w:r>
      <w:r>
        <w:rPr>
          <w:rFonts w:ascii="Arial" w:cs="Arial" w:eastAsia="Arial" w:hAnsi="Arial"/>
          <w:sz w:val="17"/>
          <w:szCs w:val="17"/>
          <w:i w:val="1"/>
          <w:iCs w:val="1"/>
          <w:color w:val="auto"/>
        </w:rPr>
        <w:t xml:space="preserve"> Sid Meier’s Civilization VI</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u w:val="single" w:color="auto"/>
          <w:color w:val="auto"/>
        </w:rPr>
        <w:t>Management Comments</w:t>
      </w:r>
    </w:p>
    <w:p>
      <w:pPr>
        <w:spacing w:after="0" w:line="229"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 xml:space="preserve">“Take-Two delivered better-than-expected results in the fiscal third quarter,” said Strauss Zelnick, Chairman and CEO of Take-Two. “Our outperformance was driven primarily by the record-breaking launch of </w:t>
      </w:r>
      <w:r>
        <w:rPr>
          <w:rFonts w:ascii="Arial" w:cs="Arial" w:eastAsia="Arial" w:hAnsi="Arial"/>
          <w:sz w:val="17"/>
          <w:szCs w:val="17"/>
          <w:i w:val="1"/>
          <w:iCs w:val="1"/>
          <w:color w:val="auto"/>
        </w:rPr>
        <w:t>Red Dead Redemption 2</w:t>
      </w:r>
      <w:r>
        <w:rPr>
          <w:rFonts w:ascii="Arial" w:cs="Arial" w:eastAsia="Arial" w:hAnsi="Arial"/>
          <w:sz w:val="17"/>
          <w:szCs w:val="17"/>
          <w:color w:val="auto"/>
        </w:rPr>
        <w:t xml:space="preserve"> along with strong results from </w:t>
      </w:r>
      <w:r>
        <w:rPr>
          <w:rFonts w:ascii="Arial" w:cs="Arial" w:eastAsia="Arial" w:hAnsi="Arial"/>
          <w:sz w:val="17"/>
          <w:szCs w:val="17"/>
          <w:i w:val="1"/>
          <w:iCs w:val="1"/>
          <w:color w:val="auto"/>
        </w:rPr>
        <w:t>NBA 2K19</w:t>
      </w:r>
      <w:r>
        <w:rPr>
          <w:rFonts w:ascii="Arial" w:cs="Arial" w:eastAsia="Arial" w:hAnsi="Arial"/>
          <w:sz w:val="17"/>
          <w:szCs w:val="17"/>
          <w:color w:val="auto"/>
        </w:rPr>
        <w:t>. In addition, consumers engaged significantly with our offerings, and recurrent consumer spending grew 31% to a new record. We generated strong cash flow and ended the period with $1.6 billion in cash and short-term investments, after deploying $109 million to repurchase 1 million shares of our stock.</w:t>
      </w:r>
    </w:p>
    <w:p>
      <w:pPr>
        <w:spacing w:after="0" w:line="17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“As a result of our outstanding third quarter performance, we are raising our outlook for fiscal 2019, which is poised to be a record year for Net Bookings and Adjusted Operating Cash Flow. Looking ahead, as our industry continues to embrace new technologies that enhance consumers’ experience with, and access to interactive entertainment, we remain focused on broadening the reach of our content and expanding further globally. Take-Two is exceedingly well-positioned - creatively, strategically and financially - to capitalize on the vast opportunities that will shape the future of our business, and to deliver long-term growth and margin expansion.”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Business and Product Highlights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Since October 1, 2018: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w:t>
      </w:r>
    </w:p>
    <w:p>
      <w:pPr>
        <w:spacing w:after="0" w:line="229" w:lineRule="exact"/>
        <w:rPr>
          <w:sz w:val="20"/>
          <w:szCs w:val="20"/>
          <w:color w:val="auto"/>
        </w:rPr>
      </w:pPr>
    </w:p>
    <w:p>
      <w:pPr>
        <w:ind w:left="300" w:hanging="292"/>
        <w:spacing w:after="0"/>
        <w:tabs>
          <w:tab w:leader="none" w:pos="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Repurchased 1.00 million shares of its common stock for $108.9 million.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Rockstar Games:</w:t>
      </w:r>
    </w:p>
    <w:p>
      <w:pPr>
        <w:spacing w:after="0" w:line="229" w:lineRule="exact"/>
        <w:rPr>
          <w:sz w:val="20"/>
          <w:szCs w:val="20"/>
          <w:color w:val="auto"/>
        </w:rPr>
      </w:pPr>
    </w:p>
    <w:p>
      <w:pPr>
        <w:ind w:left="340" w:right="80" w:hanging="332"/>
        <w:spacing w:after="0" w:line="291" w:lineRule="auto"/>
        <w:tabs>
          <w:tab w:leader="none" w:pos="304" w:val="left"/>
        </w:tabs>
        <w:numPr>
          <w:ilvl w:val="0"/>
          <w:numId w:val="4"/>
        </w:numPr>
        <w:rPr>
          <w:rFonts w:ascii="Arial" w:cs="Arial" w:eastAsia="Arial" w:hAnsi="Arial"/>
          <w:sz w:val="16"/>
          <w:szCs w:val="16"/>
          <w:color w:val="auto"/>
        </w:rPr>
      </w:pPr>
      <w:r>
        <w:rPr>
          <w:rFonts w:ascii="Arial" w:cs="Arial" w:eastAsia="Arial" w:hAnsi="Arial"/>
          <w:sz w:val="16"/>
          <w:szCs w:val="16"/>
          <w:color w:val="auto"/>
        </w:rPr>
        <w:t xml:space="preserve">Launched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for PlayStation 4 and Xbox One. Told across the deepest and most expansive Rockstar Games’ world to date, </w:t>
      </w:r>
      <w:r>
        <w:rPr>
          <w:rFonts w:ascii="Arial" w:cs="Arial" w:eastAsia="Arial" w:hAnsi="Arial"/>
          <w:sz w:val="16"/>
          <w:szCs w:val="16"/>
          <w:i w:val="1"/>
          <w:iCs w:val="1"/>
          <w:color w:val="auto"/>
        </w:rPr>
        <w:t>Red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Dead Redemption 2 </w:t>
      </w:r>
      <w:r>
        <w:rPr>
          <w:rFonts w:ascii="Arial" w:cs="Arial" w:eastAsia="Arial" w:hAnsi="Arial"/>
          <w:sz w:val="16"/>
          <w:szCs w:val="16"/>
          <w:color w:val="auto"/>
        </w:rPr>
        <w:t>is the label’s first game built from the ground up for the current console generation. The title received outstanding reviews, with</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numerous influential critics awarding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a perfect score, and the title also received multiple game of the year awards. </w:t>
      </w:r>
      <w:r>
        <w:rPr>
          <w:rFonts w:ascii="Arial" w:cs="Arial" w:eastAsia="Arial" w:hAnsi="Arial"/>
          <w:sz w:val="16"/>
          <w:szCs w:val="16"/>
          <w:i w:val="1"/>
          <w:iCs w:val="1"/>
          <w:color w:val="auto"/>
        </w:rPr>
        <w:t>Red Dead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Redemption 2 </w:t>
      </w:r>
      <w:r>
        <w:rPr>
          <w:rFonts w:ascii="Arial" w:cs="Arial" w:eastAsia="Arial" w:hAnsi="Arial"/>
          <w:sz w:val="16"/>
          <w:szCs w:val="16"/>
          <w:color w:val="auto"/>
        </w:rPr>
        <w:t>has also been a massive commercial success and has set numerous records, including the biggest opening weekend in retail sell-through</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across all entertainment releases (over $725 million), and the second biggest launch (three days) in retail sell-through across all entertainment releases (next to </w:t>
      </w:r>
      <w:r>
        <w:rPr>
          <w:rFonts w:ascii="Arial" w:cs="Arial" w:eastAsia="Arial" w:hAnsi="Arial"/>
          <w:sz w:val="16"/>
          <w:szCs w:val="16"/>
          <w:i w:val="1"/>
          <w:iCs w:val="1"/>
          <w:color w:val="auto"/>
        </w:rPr>
        <w:t>Grand Theft Auto V</w:t>
      </w:r>
      <w:r>
        <w:rPr>
          <w:rFonts w:ascii="Arial" w:cs="Arial" w:eastAsia="Arial" w:hAnsi="Arial"/>
          <w:sz w:val="16"/>
          <w:szCs w:val="16"/>
          <w:color w:val="auto"/>
        </w:rPr>
        <w:t xml:space="preserve">). According to The NPD Group, based on combined physical and digital sales in the U.S.,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was the best-selling video game of 2018. To date,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has sold-in more than 23 million units worldwide.</w:t>
      </w:r>
    </w:p>
    <w:p>
      <w:pPr>
        <w:spacing w:after="0" w:line="167" w:lineRule="exact"/>
        <w:rPr>
          <w:rFonts w:ascii="Arial" w:cs="Arial" w:eastAsia="Arial" w:hAnsi="Arial"/>
          <w:sz w:val="16"/>
          <w:szCs w:val="16"/>
          <w:color w:val="auto"/>
        </w:rPr>
      </w:pPr>
    </w:p>
    <w:p>
      <w:pPr>
        <w:ind w:left="340" w:right="600" w:hanging="332"/>
        <w:spacing w:after="0" w:line="342" w:lineRule="auto"/>
        <w:tabs>
          <w:tab w:leader="none" w:pos="304" w:val="left"/>
        </w:tabs>
        <w:numPr>
          <w:ilvl w:val="0"/>
          <w:numId w:val="4"/>
        </w:numPr>
        <w:rPr>
          <w:rFonts w:ascii="Arial" w:cs="Arial" w:eastAsia="Arial" w:hAnsi="Arial"/>
          <w:sz w:val="16"/>
          <w:szCs w:val="16"/>
          <w:color w:val="auto"/>
        </w:rPr>
      </w:pPr>
      <w:r>
        <w:rPr>
          <w:rFonts w:ascii="Arial" w:cs="Arial" w:eastAsia="Arial" w:hAnsi="Arial"/>
          <w:sz w:val="16"/>
          <w:szCs w:val="16"/>
          <w:color w:val="auto"/>
        </w:rPr>
        <w:t xml:space="preserve">Launched the public Beta for </w:t>
      </w:r>
      <w:r>
        <w:rPr>
          <w:rFonts w:ascii="Arial" w:cs="Arial" w:eastAsia="Arial" w:hAnsi="Arial"/>
          <w:sz w:val="16"/>
          <w:szCs w:val="16"/>
          <w:i w:val="1"/>
          <w:iCs w:val="1"/>
          <w:color w:val="auto"/>
        </w:rPr>
        <w:t>Red Dead Online</w:t>
      </w:r>
      <w:r>
        <w:rPr>
          <w:rFonts w:ascii="Arial" w:cs="Arial" w:eastAsia="Arial" w:hAnsi="Arial"/>
          <w:sz w:val="16"/>
          <w:szCs w:val="16"/>
          <w:color w:val="auto"/>
        </w:rPr>
        <w:t xml:space="preserve">. Free with every copy of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w:t>
      </w:r>
      <w:r>
        <w:rPr>
          <w:rFonts w:ascii="Arial" w:cs="Arial" w:eastAsia="Arial" w:hAnsi="Arial"/>
          <w:sz w:val="16"/>
          <w:szCs w:val="16"/>
          <w:i w:val="1"/>
          <w:iCs w:val="1"/>
          <w:color w:val="auto"/>
        </w:rPr>
        <w:t>Red Dead Online</w:t>
      </w:r>
      <w:r>
        <w:rPr>
          <w:rFonts w:ascii="Arial" w:cs="Arial" w:eastAsia="Arial" w:hAnsi="Arial"/>
          <w:sz w:val="16"/>
          <w:szCs w:val="16"/>
          <w:color w:val="auto"/>
        </w:rPr>
        <w:t xml:space="preserve"> is an evolution of the classic multiplayer experience in the original </w:t>
      </w:r>
      <w:r>
        <w:rPr>
          <w:rFonts w:ascii="Arial" w:cs="Arial" w:eastAsia="Arial" w:hAnsi="Arial"/>
          <w:sz w:val="16"/>
          <w:szCs w:val="16"/>
          <w:i w:val="1"/>
          <w:iCs w:val="1"/>
          <w:color w:val="auto"/>
        </w:rPr>
        <w:t>Red Dead Redemption</w:t>
      </w:r>
      <w:r>
        <w:rPr>
          <w:rFonts w:ascii="Arial" w:cs="Arial" w:eastAsia="Arial" w:hAnsi="Arial"/>
          <w:sz w:val="16"/>
          <w:szCs w:val="16"/>
          <w:color w:val="auto"/>
        </w:rPr>
        <w:t>, blending narrative with competitive and cooperative gameplay in fun new ways.</w:t>
      </w:r>
    </w:p>
    <w:p>
      <w:pPr>
        <w:spacing w:after="0" w:line="123" w:lineRule="exact"/>
        <w:rPr>
          <w:rFonts w:ascii="Arial" w:cs="Arial" w:eastAsia="Arial" w:hAnsi="Arial"/>
          <w:sz w:val="16"/>
          <w:szCs w:val="16"/>
          <w:color w:val="auto"/>
        </w:rPr>
      </w:pPr>
    </w:p>
    <w:p>
      <w:pPr>
        <w:ind w:left="300" w:hanging="292"/>
        <w:spacing w:after="0"/>
        <w:tabs>
          <w:tab w:leader="none" w:pos="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Released new free content updates for </w:t>
      </w:r>
      <w:r>
        <w:rPr>
          <w:rFonts w:ascii="Arial" w:cs="Arial" w:eastAsia="Arial" w:hAnsi="Arial"/>
          <w:sz w:val="18"/>
          <w:szCs w:val="18"/>
          <w:i w:val="1"/>
          <w:iCs w:val="1"/>
          <w:color w:val="auto"/>
        </w:rPr>
        <w:t>Grand Theft Auto Online</w:t>
      </w:r>
      <w:r>
        <w:rPr>
          <w:rFonts w:ascii="Arial" w:cs="Arial" w:eastAsia="Arial" w:hAnsi="Arial"/>
          <w:sz w:val="18"/>
          <w:szCs w:val="18"/>
          <w:color w:val="auto"/>
        </w:rPr>
        <w:t>, including:</w:t>
      </w:r>
    </w:p>
    <w:p>
      <w:pPr>
        <w:spacing w:after="0" w:line="225" w:lineRule="exact"/>
        <w:rPr>
          <w:rFonts w:ascii="Arial" w:cs="Arial" w:eastAsia="Arial" w:hAnsi="Arial"/>
          <w:sz w:val="18"/>
          <w:szCs w:val="18"/>
          <w:color w:val="auto"/>
        </w:rPr>
      </w:pPr>
    </w:p>
    <w:p>
      <w:pPr>
        <w:ind w:left="660" w:right="220" w:hanging="328"/>
        <w:spacing w:after="0" w:line="277" w:lineRule="auto"/>
        <w:tabs>
          <w:tab w:leader="none" w:pos="624" w:val="left"/>
        </w:tabs>
        <w:numPr>
          <w:ilvl w:val="1"/>
          <w:numId w:val="4"/>
        </w:numPr>
        <w:rPr>
          <w:rFonts w:ascii="Arial" w:cs="Arial" w:eastAsia="Arial" w:hAnsi="Arial"/>
          <w:sz w:val="18"/>
          <w:szCs w:val="18"/>
          <w:color w:val="auto"/>
        </w:rPr>
      </w:pPr>
      <w:r>
        <w:rPr>
          <w:rFonts w:ascii="Arial" w:cs="Arial" w:eastAsia="Arial" w:hAnsi="Arial"/>
          <w:sz w:val="18"/>
          <w:szCs w:val="18"/>
          <w:i w:val="1"/>
          <w:iCs w:val="1"/>
          <w:color w:val="auto"/>
        </w:rPr>
        <w:t>Festive Surprise 2018</w:t>
      </w:r>
      <w:r>
        <w:rPr>
          <w:rFonts w:ascii="Arial" w:cs="Arial" w:eastAsia="Arial" w:hAnsi="Arial"/>
          <w:sz w:val="18"/>
          <w:szCs w:val="18"/>
          <w:color w:val="auto"/>
        </w:rPr>
        <w:t>, which featured festive decorations adorning Arena Workshops, Nightclubs and other properties across the city, and the rare</w:t>
      </w:r>
      <w:r>
        <w:rPr>
          <w:rFonts w:ascii="Arial" w:cs="Arial" w:eastAsia="Arial" w:hAnsi="Arial"/>
          <w:sz w:val="18"/>
          <w:szCs w:val="18"/>
          <w:i w:val="1"/>
          <w:iCs w:val="1"/>
          <w:color w:val="auto"/>
        </w:rPr>
        <w:t xml:space="preserve"> </w:t>
      </w:r>
      <w:r>
        <w:rPr>
          <w:rFonts w:ascii="Arial" w:cs="Arial" w:eastAsia="Arial" w:hAnsi="Arial"/>
          <w:sz w:val="18"/>
          <w:szCs w:val="18"/>
          <w:color w:val="auto"/>
        </w:rPr>
        <w:t>Southern San Andreas snowfall phenomenon blanketing the streets.</w:t>
      </w:r>
    </w:p>
    <w:p>
      <w:pPr>
        <w:spacing w:after="0" w:line="170" w:lineRule="exact"/>
        <w:rPr>
          <w:rFonts w:ascii="Arial" w:cs="Arial" w:eastAsia="Arial" w:hAnsi="Arial"/>
          <w:sz w:val="18"/>
          <w:szCs w:val="18"/>
          <w:color w:val="auto"/>
        </w:rPr>
      </w:pPr>
    </w:p>
    <w:p>
      <w:pPr>
        <w:ind w:left="660" w:right="200" w:hanging="328"/>
        <w:spacing w:after="0" w:line="277" w:lineRule="auto"/>
        <w:tabs>
          <w:tab w:leader="none" w:pos="624" w:val="left"/>
        </w:tabs>
        <w:numPr>
          <w:ilvl w:val="1"/>
          <w:numId w:val="4"/>
        </w:numPr>
        <w:rPr>
          <w:rFonts w:ascii="Arial" w:cs="Arial" w:eastAsia="Arial" w:hAnsi="Arial"/>
          <w:sz w:val="18"/>
          <w:szCs w:val="18"/>
          <w:color w:val="auto"/>
        </w:rPr>
      </w:pPr>
      <w:r>
        <w:rPr>
          <w:rFonts w:ascii="Arial" w:cs="Arial" w:eastAsia="Arial" w:hAnsi="Arial"/>
          <w:sz w:val="18"/>
          <w:szCs w:val="18"/>
          <w:i w:val="1"/>
          <w:iCs w:val="1"/>
          <w:color w:val="auto"/>
        </w:rPr>
        <w:t>Arena War</w:t>
      </w:r>
      <w:r>
        <w:rPr>
          <w:rFonts w:ascii="Arial" w:cs="Arial" w:eastAsia="Arial" w:hAnsi="Arial"/>
          <w:sz w:val="18"/>
          <w:szCs w:val="18"/>
          <w:color w:val="auto"/>
        </w:rPr>
        <w:t>, which includes 7 deadly Arena Events, as well as the opportunity for players to run their own workshop, craft their own juggernauts of</w:t>
      </w:r>
      <w:r>
        <w:rPr>
          <w:rFonts w:ascii="Arial" w:cs="Arial" w:eastAsia="Arial" w:hAnsi="Arial"/>
          <w:sz w:val="18"/>
          <w:szCs w:val="18"/>
          <w:i w:val="1"/>
          <w:iCs w:val="1"/>
          <w:color w:val="auto"/>
        </w:rPr>
        <w:t xml:space="preserve"> </w:t>
      </w:r>
      <w:r>
        <w:rPr>
          <w:rFonts w:ascii="Arial" w:cs="Arial" w:eastAsia="Arial" w:hAnsi="Arial"/>
          <w:sz w:val="18"/>
          <w:szCs w:val="18"/>
          <w:color w:val="auto"/>
        </w:rPr>
        <w:t>destruction and track their own carnage-filled careers.</w:t>
      </w:r>
    </w:p>
    <w:p>
      <w:pPr>
        <w:spacing w:after="0" w:line="170" w:lineRule="exact"/>
        <w:rPr>
          <w:rFonts w:ascii="Arial" w:cs="Arial" w:eastAsia="Arial" w:hAnsi="Arial"/>
          <w:sz w:val="18"/>
          <w:szCs w:val="18"/>
          <w:color w:val="auto"/>
        </w:rPr>
      </w:pPr>
    </w:p>
    <w:p>
      <w:pPr>
        <w:ind w:left="620" w:hanging="288"/>
        <w:spacing w:after="0"/>
        <w:tabs>
          <w:tab w:leader="none" w:pos="620" w:val="left"/>
        </w:tabs>
        <w:numPr>
          <w:ilvl w:val="1"/>
          <w:numId w:val="4"/>
        </w:numPr>
        <w:rPr>
          <w:rFonts w:ascii="Arial" w:cs="Arial" w:eastAsia="Arial" w:hAnsi="Arial"/>
          <w:sz w:val="17"/>
          <w:szCs w:val="17"/>
          <w:color w:val="auto"/>
        </w:rPr>
      </w:pPr>
      <w:r>
        <w:rPr>
          <w:rFonts w:ascii="Arial" w:cs="Arial" w:eastAsia="Arial" w:hAnsi="Arial"/>
          <w:sz w:val="17"/>
          <w:szCs w:val="17"/>
          <w:i w:val="1"/>
          <w:iCs w:val="1"/>
          <w:color w:val="auto"/>
        </w:rPr>
        <w:t>Halloween 2018</w:t>
      </w:r>
      <w:r>
        <w:rPr>
          <w:rFonts w:ascii="Arial" w:cs="Arial" w:eastAsia="Arial" w:hAnsi="Arial"/>
          <w:sz w:val="17"/>
          <w:szCs w:val="17"/>
          <w:color w:val="auto"/>
        </w:rPr>
        <w:t>, featuring new Halloween-themed modes, such as Condemned, and updates to creepy classics like Slashers and more.</w:t>
      </w:r>
    </w:p>
    <w:p>
      <w:pPr>
        <w:spacing w:after="0" w:line="236" w:lineRule="exact"/>
        <w:rPr>
          <w:rFonts w:ascii="Arial" w:cs="Arial" w:eastAsia="Arial" w:hAnsi="Arial"/>
          <w:sz w:val="17"/>
          <w:szCs w:val="17"/>
          <w:color w:val="auto"/>
        </w:rPr>
      </w:pPr>
    </w:p>
    <w:p>
      <w:pPr>
        <w:ind w:left="620" w:hanging="288"/>
        <w:spacing w:after="0"/>
        <w:tabs>
          <w:tab w:leader="none" w:pos="620" w:val="left"/>
        </w:tabs>
        <w:numPr>
          <w:ilvl w:val="1"/>
          <w:numId w:val="4"/>
        </w:numPr>
        <w:rPr>
          <w:rFonts w:ascii="Arial" w:cs="Arial" w:eastAsia="Arial" w:hAnsi="Arial"/>
          <w:sz w:val="18"/>
          <w:szCs w:val="18"/>
          <w:color w:val="auto"/>
        </w:rPr>
      </w:pPr>
      <w:r>
        <w:rPr>
          <w:rFonts w:ascii="Arial" w:cs="Arial" w:eastAsia="Arial" w:hAnsi="Arial"/>
          <w:sz w:val="18"/>
          <w:szCs w:val="18"/>
          <w:color w:val="auto"/>
        </w:rPr>
        <w:t>Numerous new vehicles, weapons, clothing and more.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2K:</w:t>
      </w:r>
    </w:p>
    <w:p>
      <w:pPr>
        <w:spacing w:after="0" w:line="229" w:lineRule="exact"/>
        <w:rPr>
          <w:sz w:val="20"/>
          <w:szCs w:val="20"/>
          <w:color w:val="auto"/>
        </w:rPr>
      </w:pPr>
    </w:p>
    <w:p>
      <w:pPr>
        <w:ind w:left="340" w:right="60" w:hanging="332"/>
        <w:spacing w:after="0" w:line="279" w:lineRule="auto"/>
        <w:tabs>
          <w:tab w:leader="none" w:pos="304" w:val="left"/>
        </w:tabs>
        <w:numPr>
          <w:ilvl w:val="0"/>
          <w:numId w:val="5"/>
        </w:numPr>
        <w:rPr>
          <w:rFonts w:ascii="Arial" w:cs="Arial" w:eastAsia="Arial" w:hAnsi="Arial"/>
          <w:sz w:val="17"/>
          <w:szCs w:val="17"/>
          <w:color w:val="auto"/>
        </w:rPr>
      </w:pPr>
      <w:r>
        <w:rPr>
          <w:rFonts w:ascii="Arial" w:cs="Arial" w:eastAsia="Arial" w:hAnsi="Arial"/>
          <w:sz w:val="17"/>
          <w:szCs w:val="17"/>
          <w:color w:val="auto"/>
        </w:rPr>
        <w:t xml:space="preserve">Announced that video game industry veteran Michael Condrey has joined 2K as President of the label’s new game development studio based in Silicon Valley. Condrey is best known for co-founding Sledgehammer Games and leading development for the renowned </w:t>
      </w:r>
      <w:r>
        <w:rPr>
          <w:rFonts w:ascii="Arial" w:cs="Arial" w:eastAsia="Arial" w:hAnsi="Arial"/>
          <w:sz w:val="17"/>
          <w:szCs w:val="17"/>
          <w:i w:val="1"/>
          <w:iCs w:val="1"/>
          <w:color w:val="auto"/>
        </w:rPr>
        <w:t>Call of Duty</w:t>
      </w:r>
      <w:r>
        <w:rPr>
          <w:rFonts w:ascii="Arial" w:cs="Arial" w:eastAsia="Arial" w:hAnsi="Arial"/>
          <w:sz w:val="17"/>
          <w:szCs w:val="17"/>
          <w:color w:val="auto"/>
        </w:rPr>
        <w:t xml:space="preserve"> franchise, including </w:t>
      </w:r>
      <w:r>
        <w:rPr>
          <w:rFonts w:ascii="Arial" w:cs="Arial" w:eastAsia="Arial" w:hAnsi="Arial"/>
          <w:sz w:val="17"/>
          <w:szCs w:val="17"/>
          <w:i w:val="1"/>
          <w:iCs w:val="1"/>
          <w:color w:val="auto"/>
        </w:rPr>
        <w:t>Call</w:t>
      </w:r>
      <w:r>
        <w:rPr>
          <w:rFonts w:ascii="Arial" w:cs="Arial" w:eastAsia="Arial" w:hAnsi="Arial"/>
          <w:sz w:val="17"/>
          <w:szCs w:val="17"/>
          <w:color w:val="auto"/>
        </w:rPr>
        <w:t xml:space="preserve"> </w:t>
      </w:r>
      <w:r>
        <w:rPr>
          <w:rFonts w:ascii="Arial" w:cs="Arial" w:eastAsia="Arial" w:hAnsi="Arial"/>
          <w:sz w:val="17"/>
          <w:szCs w:val="17"/>
          <w:i w:val="1"/>
          <w:iCs w:val="1"/>
          <w:color w:val="auto"/>
        </w:rPr>
        <w:t>of Duty: Modern Warfare 3</w:t>
      </w:r>
      <w:r>
        <w:rPr>
          <w:rFonts w:ascii="Arial" w:cs="Arial" w:eastAsia="Arial" w:hAnsi="Arial"/>
          <w:sz w:val="17"/>
          <w:szCs w:val="17"/>
          <w:color w:val="auto"/>
        </w:rPr>
        <w:t>. Condrey also served as Chief Operating Officer and Director at Visceral Games in establishing the popular</w:t>
      </w:r>
      <w:r>
        <w:rPr>
          <w:rFonts w:ascii="Arial" w:cs="Arial" w:eastAsia="Arial" w:hAnsi="Arial"/>
          <w:sz w:val="17"/>
          <w:szCs w:val="17"/>
          <w:i w:val="1"/>
          <w:iCs w:val="1"/>
          <w:color w:val="auto"/>
        </w:rPr>
        <w:t xml:space="preserve"> Dead Space </w:t>
      </w:r>
      <w:r>
        <w:rPr>
          <w:rFonts w:ascii="Arial" w:cs="Arial" w:eastAsia="Arial" w:hAnsi="Arial"/>
          <w:sz w:val="17"/>
          <w:szCs w:val="17"/>
          <w:color w:val="auto"/>
        </w:rPr>
        <w:t>franchise. In his new role with 2K, Condrey will build and lead a new development team to work on an unannounced project.</w:t>
      </w:r>
    </w:p>
    <w:p>
      <w:pPr>
        <w:spacing w:after="0" w:line="171" w:lineRule="exact"/>
        <w:rPr>
          <w:rFonts w:ascii="Arial" w:cs="Arial" w:eastAsia="Arial" w:hAnsi="Arial"/>
          <w:sz w:val="17"/>
          <w:szCs w:val="17"/>
          <w:color w:val="auto"/>
        </w:rPr>
      </w:pPr>
    </w:p>
    <w:p>
      <w:pPr>
        <w:ind w:left="340" w:right="140" w:hanging="332"/>
        <w:spacing w:after="0" w:line="264" w:lineRule="auto"/>
        <w:tabs>
          <w:tab w:leader="none" w:pos="304"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Announced, together with The National Basketball Association (NBA) and National Basketball Players Association (NBPA) a significant, multiyear global partnership extension. The agreement expands upon the success of </w:t>
      </w:r>
      <w:r>
        <w:rPr>
          <w:rFonts w:ascii="Arial" w:cs="Arial" w:eastAsia="Arial" w:hAnsi="Arial"/>
          <w:sz w:val="18"/>
          <w:szCs w:val="18"/>
          <w:i w:val="1"/>
          <w:iCs w:val="1"/>
          <w:color w:val="auto"/>
        </w:rPr>
        <w:t>NBA 2K</w:t>
      </w:r>
      <w:r>
        <w:rPr>
          <w:rFonts w:ascii="Arial" w:cs="Arial" w:eastAsia="Arial" w:hAnsi="Arial"/>
          <w:sz w:val="18"/>
          <w:szCs w:val="18"/>
          <w:color w:val="auto"/>
        </w:rPr>
        <w:t>, the top-rated and top-selling NBA video game simulation series for the past 17 years* that has sold-in nearly 90 million units worldwide.</w:t>
      </w:r>
    </w:p>
    <w:p>
      <w:pPr>
        <w:spacing w:after="0" w:line="181" w:lineRule="exact"/>
        <w:rPr>
          <w:rFonts w:ascii="Arial" w:cs="Arial" w:eastAsia="Arial" w:hAnsi="Arial"/>
          <w:sz w:val="18"/>
          <w:szCs w:val="18"/>
          <w:color w:val="auto"/>
        </w:rPr>
      </w:pPr>
    </w:p>
    <w:p>
      <w:pPr>
        <w:ind w:left="340" w:right="100" w:hanging="332"/>
        <w:spacing w:after="0" w:line="342" w:lineRule="auto"/>
        <w:tabs>
          <w:tab w:leader="none" w:pos="304" w:val="left"/>
        </w:tabs>
        <w:numPr>
          <w:ilvl w:val="0"/>
          <w:numId w:val="5"/>
        </w:numPr>
        <w:rPr>
          <w:rFonts w:ascii="Arial" w:cs="Arial" w:eastAsia="Arial" w:hAnsi="Arial"/>
          <w:sz w:val="16"/>
          <w:szCs w:val="16"/>
          <w:color w:val="auto"/>
        </w:rPr>
      </w:pPr>
      <w:r>
        <w:rPr>
          <w:rFonts w:ascii="Arial" w:cs="Arial" w:eastAsia="Arial" w:hAnsi="Arial"/>
          <w:sz w:val="16"/>
          <w:szCs w:val="16"/>
          <w:color w:val="auto"/>
        </w:rPr>
        <w:t xml:space="preserve">Launched </w:t>
      </w:r>
      <w:r>
        <w:rPr>
          <w:rFonts w:ascii="Arial" w:cs="Arial" w:eastAsia="Arial" w:hAnsi="Arial"/>
          <w:sz w:val="16"/>
          <w:szCs w:val="16"/>
          <w:i w:val="1"/>
          <w:iCs w:val="1"/>
          <w:color w:val="auto"/>
        </w:rPr>
        <w:t>WWE 2K19</w:t>
      </w:r>
      <w:r>
        <w:rPr>
          <w:rFonts w:ascii="Arial" w:cs="Arial" w:eastAsia="Arial" w:hAnsi="Arial"/>
          <w:sz w:val="16"/>
          <w:szCs w:val="16"/>
          <w:color w:val="auto"/>
        </w:rPr>
        <w:t xml:space="preserve">, the next release from our flagship WWE video game franchise, for PlayStation 4, Xbox One and Windows PC. For the first time ever, 2K introduced the </w:t>
      </w:r>
      <w:r>
        <w:rPr>
          <w:rFonts w:ascii="Arial" w:cs="Arial" w:eastAsia="Arial" w:hAnsi="Arial"/>
          <w:sz w:val="16"/>
          <w:szCs w:val="16"/>
          <w:i w:val="1"/>
          <w:iCs w:val="1"/>
          <w:color w:val="auto"/>
        </w:rPr>
        <w:t>WWE 2K19 Million Dollar Challenge</w:t>
      </w:r>
      <w:r>
        <w:rPr>
          <w:rFonts w:ascii="Arial" w:cs="Arial" w:eastAsia="Arial" w:hAnsi="Arial"/>
          <w:sz w:val="16"/>
          <w:szCs w:val="16"/>
          <w:color w:val="auto"/>
        </w:rPr>
        <w:t>, where eligible entrants participate in an international contest in which the finalist will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154305</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1440" w:gutter="0" w:footer="0" w:header="0"/>
        </w:sectPr>
      </w:pPr>
    </w:p>
    <w:bookmarkStart w:id="7" w:name="page8"/>
    <w:bookmarkEnd w:id="7"/>
    <w:p>
      <w:pPr>
        <w:ind w:left="340" w:right="320"/>
        <w:spacing w:after="0" w:line="277" w:lineRule="auto"/>
        <w:rPr>
          <w:sz w:val="20"/>
          <w:szCs w:val="20"/>
          <w:color w:val="auto"/>
        </w:rPr>
      </w:pPr>
      <w:r>
        <w:rPr>
          <w:rFonts w:ascii="Arial" w:cs="Arial" w:eastAsia="Arial" w:hAnsi="Arial"/>
          <w:sz w:val="18"/>
          <w:szCs w:val="18"/>
          <w:color w:val="auto"/>
        </w:rPr>
        <w:t xml:space="preserve">compete one-on-one in </w:t>
      </w:r>
      <w:r>
        <w:rPr>
          <w:rFonts w:ascii="Arial" w:cs="Arial" w:eastAsia="Arial" w:hAnsi="Arial"/>
          <w:sz w:val="18"/>
          <w:szCs w:val="18"/>
          <w:i w:val="1"/>
          <w:iCs w:val="1"/>
          <w:color w:val="auto"/>
        </w:rPr>
        <w:t>WWE 2K19</w:t>
      </w:r>
      <w:r>
        <w:rPr>
          <w:rFonts w:ascii="Arial" w:cs="Arial" w:eastAsia="Arial" w:hAnsi="Arial"/>
          <w:sz w:val="18"/>
          <w:szCs w:val="18"/>
          <w:color w:val="auto"/>
        </w:rPr>
        <w:t xml:space="preserve"> against AJ Styles for the chance to win $1 million. </w:t>
      </w:r>
      <w:r>
        <w:rPr>
          <w:rFonts w:ascii="Arial" w:cs="Arial" w:eastAsia="Arial" w:hAnsi="Arial"/>
          <w:sz w:val="18"/>
          <w:szCs w:val="18"/>
          <w:i w:val="1"/>
          <w:iCs w:val="1"/>
          <w:color w:val="auto"/>
        </w:rPr>
        <w:t>WWE 2K19</w:t>
      </w:r>
      <w:r>
        <w:rPr>
          <w:rFonts w:ascii="Arial" w:cs="Arial" w:eastAsia="Arial" w:hAnsi="Arial"/>
          <w:sz w:val="18"/>
          <w:szCs w:val="18"/>
          <w:color w:val="auto"/>
        </w:rPr>
        <w:t xml:space="preserve"> is being supported with a series of downloadable content, including a Season Pass.</w:t>
      </w:r>
    </w:p>
    <w:p>
      <w:pPr>
        <w:spacing w:after="0" w:line="170" w:lineRule="exact"/>
        <w:rPr>
          <w:sz w:val="20"/>
          <w:szCs w:val="20"/>
          <w:color w:val="auto"/>
        </w:rPr>
      </w:pPr>
    </w:p>
    <w:p>
      <w:pPr>
        <w:ind w:left="340" w:right="100" w:hanging="332"/>
        <w:spacing w:after="0" w:line="264" w:lineRule="auto"/>
        <w:tabs>
          <w:tab w:leader="none" w:pos="304"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Released </w:t>
      </w:r>
      <w:r>
        <w:rPr>
          <w:rFonts w:ascii="Arial" w:cs="Arial" w:eastAsia="Arial" w:hAnsi="Arial"/>
          <w:sz w:val="18"/>
          <w:szCs w:val="18"/>
          <w:i w:val="1"/>
          <w:iCs w:val="1"/>
          <w:color w:val="auto"/>
        </w:rPr>
        <w:t>Sid Meier’s Civilization VI,</w:t>
      </w:r>
      <w:r>
        <w:rPr>
          <w:rFonts w:ascii="Arial" w:cs="Arial" w:eastAsia="Arial" w:hAnsi="Arial"/>
          <w:sz w:val="18"/>
          <w:szCs w:val="18"/>
          <w:color w:val="auto"/>
        </w:rPr>
        <w:t xml:space="preserve"> winner of The Game Awards’ and DICE Awards’ Best Strategy Game 2016, for Nintendo Switch. 2K and Firaxis Games partnered with Aspyr Media to bring </w:t>
      </w:r>
      <w:r>
        <w:rPr>
          <w:rFonts w:ascii="Arial" w:cs="Arial" w:eastAsia="Arial" w:hAnsi="Arial"/>
          <w:sz w:val="18"/>
          <w:szCs w:val="18"/>
          <w:i w:val="1"/>
          <w:iCs w:val="1"/>
          <w:color w:val="auto"/>
        </w:rPr>
        <w:t>Civilization VI</w:t>
      </w:r>
      <w:r>
        <w:rPr>
          <w:rFonts w:ascii="Arial" w:cs="Arial" w:eastAsia="Arial" w:hAnsi="Arial"/>
          <w:sz w:val="18"/>
          <w:szCs w:val="18"/>
          <w:color w:val="auto"/>
        </w:rPr>
        <w:t xml:space="preserve"> to Nintendo Switch and ensure the experience meets the same high standards of the beloved series.</w:t>
      </w:r>
    </w:p>
    <w:p>
      <w:pPr>
        <w:spacing w:after="0" w:line="181" w:lineRule="exact"/>
        <w:rPr>
          <w:rFonts w:ascii="Arial" w:cs="Arial" w:eastAsia="Arial" w:hAnsi="Arial"/>
          <w:sz w:val="18"/>
          <w:szCs w:val="18"/>
          <w:color w:val="auto"/>
        </w:rPr>
      </w:pPr>
    </w:p>
    <w:p>
      <w:pPr>
        <w:ind w:left="340" w:hanging="332"/>
        <w:spacing w:after="0" w:line="342" w:lineRule="auto"/>
        <w:tabs>
          <w:tab w:leader="none" w:pos="304"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Launched Saber Interactive’s arcade-action sports game, </w:t>
      </w:r>
      <w:r>
        <w:rPr>
          <w:rFonts w:ascii="Arial" w:cs="Arial" w:eastAsia="Arial" w:hAnsi="Arial"/>
          <w:sz w:val="16"/>
          <w:szCs w:val="16"/>
          <w:i w:val="1"/>
          <w:iCs w:val="1"/>
          <w:color w:val="auto"/>
        </w:rPr>
        <w:t>NBA 2K Playgrounds 2</w:t>
      </w:r>
      <w:r>
        <w:rPr>
          <w:rFonts w:ascii="Arial" w:cs="Arial" w:eastAsia="Arial" w:hAnsi="Arial"/>
          <w:sz w:val="16"/>
          <w:szCs w:val="16"/>
          <w:color w:val="auto"/>
        </w:rPr>
        <w:t xml:space="preserve">, for Xbox One, PlayStation 4, Nintendo Switch and PC. This over-the-top, two-on-two basketball experience complements 2K’s top-selling </w:t>
      </w:r>
      <w:r>
        <w:rPr>
          <w:rFonts w:ascii="Arial" w:cs="Arial" w:eastAsia="Arial" w:hAnsi="Arial"/>
          <w:sz w:val="16"/>
          <w:szCs w:val="16"/>
          <w:i w:val="1"/>
          <w:iCs w:val="1"/>
          <w:color w:val="auto"/>
        </w:rPr>
        <w:t>NBA 2K</w:t>
      </w:r>
      <w:r>
        <w:rPr>
          <w:rFonts w:ascii="Arial" w:cs="Arial" w:eastAsia="Arial" w:hAnsi="Arial"/>
          <w:sz w:val="16"/>
          <w:szCs w:val="16"/>
          <w:color w:val="auto"/>
        </w:rPr>
        <w:t xml:space="preserve"> series and expands the label’s footprint in the basketball video game space.</w:t>
      </w:r>
    </w:p>
    <w:p>
      <w:pPr>
        <w:spacing w:after="0" w:line="123" w:lineRule="exact"/>
        <w:rPr>
          <w:rFonts w:ascii="Arial" w:cs="Arial" w:eastAsia="Arial" w:hAnsi="Arial"/>
          <w:sz w:val="16"/>
          <w:szCs w:val="16"/>
          <w:color w:val="auto"/>
        </w:rPr>
      </w:pPr>
    </w:p>
    <w:p>
      <w:pPr>
        <w:jc w:val="both"/>
        <w:ind w:left="340" w:hanging="332"/>
        <w:spacing w:after="0" w:line="264" w:lineRule="auto"/>
        <w:tabs>
          <w:tab w:leader="none" w:pos="304"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Released </w:t>
      </w:r>
      <w:r>
        <w:rPr>
          <w:rFonts w:ascii="Arial" w:cs="Arial" w:eastAsia="Arial" w:hAnsi="Arial"/>
          <w:sz w:val="18"/>
          <w:szCs w:val="18"/>
          <w:i w:val="1"/>
          <w:iCs w:val="1"/>
          <w:color w:val="auto"/>
        </w:rPr>
        <w:t>Carnival Games®,</w:t>
      </w:r>
      <w:r>
        <w:rPr>
          <w:rFonts w:ascii="Arial" w:cs="Arial" w:eastAsia="Arial" w:hAnsi="Arial"/>
          <w:sz w:val="18"/>
          <w:szCs w:val="18"/>
          <w:color w:val="auto"/>
        </w:rPr>
        <w:t xml:space="preserve"> for Nintendo Switch. Built from the ground up for Nintendo Switch, </w:t>
      </w:r>
      <w:r>
        <w:rPr>
          <w:rFonts w:ascii="Arial" w:cs="Arial" w:eastAsia="Arial" w:hAnsi="Arial"/>
          <w:sz w:val="18"/>
          <w:szCs w:val="18"/>
          <w:i w:val="1"/>
          <w:iCs w:val="1"/>
          <w:color w:val="auto"/>
        </w:rPr>
        <w:t>Carnival Games</w:t>
      </w:r>
      <w:r>
        <w:rPr>
          <w:rFonts w:ascii="Arial" w:cs="Arial" w:eastAsia="Arial" w:hAnsi="Arial"/>
          <w:sz w:val="18"/>
          <w:szCs w:val="18"/>
          <w:color w:val="auto"/>
        </w:rPr>
        <w:t xml:space="preserve"> can be played alone or with up to four players simultaneously, leveraging the unique accessibility of the console’s Joy-Con controllers. </w:t>
      </w:r>
      <w:r>
        <w:rPr>
          <w:rFonts w:ascii="Arial" w:cs="Arial" w:eastAsia="Arial" w:hAnsi="Arial"/>
          <w:sz w:val="18"/>
          <w:szCs w:val="18"/>
          <w:i w:val="1"/>
          <w:iCs w:val="1"/>
          <w:color w:val="auto"/>
        </w:rPr>
        <w:t>Carnival Games</w:t>
      </w:r>
      <w:r>
        <w:rPr>
          <w:rFonts w:ascii="Arial" w:cs="Arial" w:eastAsia="Arial" w:hAnsi="Arial"/>
          <w:sz w:val="18"/>
          <w:szCs w:val="18"/>
          <w:color w:val="auto"/>
        </w:rPr>
        <w:t xml:space="preserve"> was also released for PlayStation 4 and Xbox One.</w:t>
      </w:r>
    </w:p>
    <w:p>
      <w:pPr>
        <w:spacing w:after="0" w:line="181" w:lineRule="exact"/>
        <w:rPr>
          <w:rFonts w:ascii="Arial" w:cs="Arial" w:eastAsia="Arial" w:hAnsi="Arial"/>
          <w:sz w:val="18"/>
          <w:szCs w:val="18"/>
          <w:color w:val="auto"/>
        </w:rPr>
      </w:pPr>
    </w:p>
    <w:p>
      <w:pPr>
        <w:ind w:left="340" w:right="100" w:hanging="332"/>
        <w:spacing w:after="0" w:line="291" w:lineRule="auto"/>
        <w:tabs>
          <w:tab w:leader="none" w:pos="304"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Published physical versions of </w:t>
      </w:r>
      <w:r>
        <w:rPr>
          <w:rFonts w:ascii="Arial" w:cs="Arial" w:eastAsia="Arial" w:hAnsi="Arial"/>
          <w:sz w:val="16"/>
          <w:szCs w:val="16"/>
          <w:i w:val="1"/>
          <w:iCs w:val="1"/>
          <w:color w:val="auto"/>
        </w:rPr>
        <w:t>The Golf Club 2019 Featuring PGA TOUR</w:t>
      </w:r>
      <w:r>
        <w:rPr>
          <w:rFonts w:ascii="Arial" w:cs="Arial" w:eastAsia="Arial" w:hAnsi="Arial"/>
          <w:sz w:val="16"/>
          <w:szCs w:val="16"/>
          <w:color w:val="auto"/>
        </w:rPr>
        <w:t>®</w:t>
      </w:r>
      <w:r>
        <w:rPr>
          <w:rFonts w:ascii="Arial" w:cs="Arial" w:eastAsia="Arial" w:hAnsi="Arial"/>
          <w:sz w:val="16"/>
          <w:szCs w:val="16"/>
          <w:i w:val="1"/>
          <w:iCs w:val="1"/>
          <w:color w:val="auto"/>
        </w:rPr>
        <w:t>,</w:t>
      </w:r>
      <w:r>
        <w:rPr>
          <w:rFonts w:ascii="Arial" w:cs="Arial" w:eastAsia="Arial" w:hAnsi="Arial"/>
          <w:sz w:val="16"/>
          <w:szCs w:val="16"/>
          <w:color w:val="auto"/>
        </w:rPr>
        <w:t xml:space="preserve"> the latest entry in the award-winning golf simulation series, for PlayStation 4, Xbox One and PC. Developed by HB Studios, </w:t>
      </w:r>
      <w:r>
        <w:rPr>
          <w:rFonts w:ascii="Arial" w:cs="Arial" w:eastAsia="Arial" w:hAnsi="Arial"/>
          <w:sz w:val="16"/>
          <w:szCs w:val="16"/>
          <w:i w:val="1"/>
          <w:iCs w:val="1"/>
          <w:color w:val="auto"/>
        </w:rPr>
        <w:t>The Golf Club 2019 Featuring PGA TOUR</w:t>
      </w:r>
      <w:r>
        <w:rPr>
          <w:rFonts w:ascii="Arial" w:cs="Arial" w:eastAsia="Arial" w:hAnsi="Arial"/>
          <w:sz w:val="16"/>
          <w:szCs w:val="16"/>
          <w:color w:val="auto"/>
        </w:rPr>
        <w:t xml:space="preserve"> marks the franchise’s first release featuring the</w:t>
      </w:r>
    </w:p>
    <w:p>
      <w:pPr>
        <w:ind w:left="340"/>
        <w:spacing w:after="0"/>
        <w:rPr>
          <w:rFonts w:ascii="Arial" w:cs="Arial" w:eastAsia="Arial" w:hAnsi="Arial"/>
          <w:sz w:val="16"/>
          <w:szCs w:val="16"/>
          <w:color w:val="auto"/>
        </w:rPr>
      </w:pPr>
      <w:r>
        <w:rPr>
          <w:rFonts w:ascii="Arial" w:cs="Arial" w:eastAsia="Arial" w:hAnsi="Arial"/>
          <w:sz w:val="18"/>
          <w:szCs w:val="18"/>
          <w:color w:val="auto"/>
        </w:rPr>
        <w:t>official PGA TOUR license. The game had been released digitally on August 28, 2018.</w:t>
      </w:r>
    </w:p>
    <w:p>
      <w:pPr>
        <w:spacing w:after="0" w:line="210" w:lineRule="exact"/>
        <w:rPr>
          <w:rFonts w:ascii="Arial" w:cs="Arial" w:eastAsia="Arial" w:hAnsi="Arial"/>
          <w:sz w:val="16"/>
          <w:szCs w:val="16"/>
          <w:color w:val="auto"/>
        </w:rPr>
      </w:pPr>
    </w:p>
    <w:p>
      <w:pPr>
        <w:ind w:left="340" w:right="120" w:hanging="332"/>
        <w:spacing w:after="0" w:line="302" w:lineRule="auto"/>
        <w:tabs>
          <w:tab w:leader="none" w:pos="304"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Launched </w:t>
      </w:r>
      <w:r>
        <w:rPr>
          <w:rFonts w:ascii="Arial" w:cs="Arial" w:eastAsia="Arial" w:hAnsi="Arial"/>
          <w:sz w:val="16"/>
          <w:szCs w:val="16"/>
          <w:i w:val="1"/>
          <w:iCs w:val="1"/>
          <w:color w:val="auto"/>
        </w:rPr>
        <w:t>NBA 2K Mobile</w:t>
      </w:r>
      <w:r>
        <w:rPr>
          <w:rFonts w:ascii="Arial" w:cs="Arial" w:eastAsia="Arial" w:hAnsi="Arial"/>
          <w:sz w:val="16"/>
          <w:szCs w:val="16"/>
          <w:color w:val="auto"/>
        </w:rPr>
        <w:t xml:space="preserve">, which enables players to experience console quality graphics and lifelike </w:t>
      </w:r>
      <w:r>
        <w:rPr>
          <w:rFonts w:ascii="Arial" w:cs="Arial" w:eastAsia="Arial" w:hAnsi="Arial"/>
          <w:sz w:val="16"/>
          <w:szCs w:val="16"/>
          <w:i w:val="1"/>
          <w:iCs w:val="1"/>
          <w:color w:val="auto"/>
        </w:rPr>
        <w:t>NBA 2K</w:t>
      </w:r>
      <w:r>
        <w:rPr>
          <w:rFonts w:ascii="Arial" w:cs="Arial" w:eastAsia="Arial" w:hAnsi="Arial"/>
          <w:sz w:val="16"/>
          <w:szCs w:val="16"/>
          <w:color w:val="auto"/>
        </w:rPr>
        <w:t xml:space="preserve"> action on the go. Collect your favorite NBA players, build your dream team, and step onto the court in lifelike 5v5 match-ups. Use Drills to train up your players, compete in Seasons to earn new rewards, participate in limited time events for exclusive cards, and rise up the leaderboards on their way to becoming legendary. . </w:t>
      </w:r>
      <w:r>
        <w:rPr>
          <w:rFonts w:ascii="Arial" w:cs="Arial" w:eastAsia="Arial" w:hAnsi="Arial"/>
          <w:sz w:val="16"/>
          <w:szCs w:val="16"/>
          <w:i w:val="1"/>
          <w:iCs w:val="1"/>
          <w:color w:val="auto"/>
        </w:rPr>
        <w:t>NBA 2K Mobile</w:t>
      </w:r>
      <w:r>
        <w:rPr>
          <w:rFonts w:ascii="Arial" w:cs="Arial" w:eastAsia="Arial" w:hAnsi="Arial"/>
          <w:sz w:val="16"/>
          <w:szCs w:val="16"/>
          <w:color w:val="auto"/>
        </w:rPr>
        <w:t xml:space="preserve"> is currently available for free download on iOS phones and tablets and is planned to be available on Android devices in Spring 2019.</w:t>
      </w:r>
    </w:p>
    <w:p>
      <w:pPr>
        <w:spacing w:after="0" w:line="154" w:lineRule="exact"/>
        <w:rPr>
          <w:rFonts w:ascii="Arial" w:cs="Arial" w:eastAsia="Arial" w:hAnsi="Arial"/>
          <w:sz w:val="16"/>
          <w:szCs w:val="16"/>
          <w:color w:val="auto"/>
        </w:rPr>
      </w:pPr>
    </w:p>
    <w:p>
      <w:pPr>
        <w:ind w:left="340" w:right="580" w:hanging="332"/>
        <w:spacing w:after="0" w:line="277" w:lineRule="auto"/>
        <w:tabs>
          <w:tab w:leader="none" w:pos="304"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Launched </w:t>
      </w:r>
      <w:r>
        <w:rPr>
          <w:rFonts w:ascii="Arial" w:cs="Arial" w:eastAsia="Arial" w:hAnsi="Arial"/>
          <w:sz w:val="18"/>
          <w:szCs w:val="18"/>
          <w:i w:val="1"/>
          <w:iCs w:val="1"/>
          <w:color w:val="auto"/>
        </w:rPr>
        <w:t>Borderlands 2 VR</w:t>
      </w:r>
      <w:r>
        <w:rPr>
          <w:rFonts w:ascii="Arial" w:cs="Arial" w:eastAsia="Arial" w:hAnsi="Arial"/>
          <w:sz w:val="18"/>
          <w:szCs w:val="18"/>
          <w:color w:val="auto"/>
        </w:rPr>
        <w:t xml:space="preserve"> for PlayStation VR. For the first time ever, </w:t>
      </w:r>
      <w:r>
        <w:rPr>
          <w:rFonts w:ascii="Arial" w:cs="Arial" w:eastAsia="Arial" w:hAnsi="Arial"/>
          <w:sz w:val="18"/>
          <w:szCs w:val="18"/>
          <w:i w:val="1"/>
          <w:iCs w:val="1"/>
          <w:color w:val="auto"/>
        </w:rPr>
        <w:t>Borderlands 2 VR</w:t>
      </w:r>
      <w:r>
        <w:rPr>
          <w:rFonts w:ascii="Arial" w:cs="Arial" w:eastAsia="Arial" w:hAnsi="Arial"/>
          <w:sz w:val="18"/>
          <w:szCs w:val="18"/>
          <w:color w:val="auto"/>
        </w:rPr>
        <w:t xml:space="preserve"> enables players to immerse themselves virtually in the mayhem-filled world of </w:t>
      </w:r>
      <w:r>
        <w:rPr>
          <w:rFonts w:ascii="Arial" w:cs="Arial" w:eastAsia="Arial" w:hAnsi="Arial"/>
          <w:sz w:val="18"/>
          <w:szCs w:val="18"/>
          <w:i w:val="1"/>
          <w:iCs w:val="1"/>
          <w:color w:val="auto"/>
        </w:rPr>
        <w:t>Borderlands</w:t>
      </w:r>
      <w:r>
        <w:rPr>
          <w:rFonts w:ascii="Arial" w:cs="Arial" w:eastAsia="Arial" w:hAnsi="Arial"/>
          <w:sz w:val="18"/>
          <w:szCs w:val="18"/>
          <w:color w:val="auto"/>
        </w:rPr>
        <w:t>, the popular shooter-looter developed by Gearbox Software.</w:t>
      </w:r>
    </w:p>
    <w:p>
      <w:pPr>
        <w:spacing w:after="0" w:line="170" w:lineRule="exact"/>
        <w:rPr>
          <w:rFonts w:ascii="Arial" w:cs="Arial" w:eastAsia="Arial" w:hAnsi="Arial"/>
          <w:sz w:val="18"/>
          <w:szCs w:val="18"/>
          <w:color w:val="auto"/>
        </w:rPr>
      </w:pPr>
    </w:p>
    <w:p>
      <w:pPr>
        <w:ind w:left="340" w:right="20" w:hanging="332"/>
        <w:spacing w:after="0" w:line="342" w:lineRule="auto"/>
        <w:tabs>
          <w:tab w:leader="none" w:pos="304" w:val="left"/>
        </w:tabs>
        <w:numPr>
          <w:ilvl w:val="0"/>
          <w:numId w:val="6"/>
        </w:numPr>
        <w:rPr>
          <w:rFonts w:ascii="Arial" w:cs="Arial" w:eastAsia="Arial" w:hAnsi="Arial"/>
          <w:sz w:val="16"/>
          <w:szCs w:val="16"/>
          <w:color w:val="auto"/>
        </w:rPr>
      </w:pPr>
      <w:r>
        <w:rPr>
          <w:rFonts w:ascii="Arial" w:cs="Arial" w:eastAsia="Arial" w:hAnsi="Arial"/>
          <w:sz w:val="16"/>
          <w:szCs w:val="16"/>
          <w:color w:val="auto"/>
        </w:rPr>
        <w:t xml:space="preserve">Announced that </w:t>
      </w:r>
      <w:r>
        <w:rPr>
          <w:rFonts w:ascii="Arial" w:cs="Arial" w:eastAsia="Arial" w:hAnsi="Arial"/>
          <w:sz w:val="16"/>
          <w:szCs w:val="16"/>
          <w:i w:val="1"/>
          <w:iCs w:val="1"/>
          <w:color w:val="auto"/>
        </w:rPr>
        <w:t>Sid Meier’s Civilization VI: Gathering Storm</w:t>
      </w:r>
      <w:r>
        <w:rPr>
          <w:rFonts w:ascii="Arial" w:cs="Arial" w:eastAsia="Arial" w:hAnsi="Arial"/>
          <w:sz w:val="16"/>
          <w:szCs w:val="16"/>
          <w:color w:val="auto"/>
        </w:rPr>
        <w:t xml:space="preserve">, the largest expansion pack ever created for a </w:t>
      </w:r>
      <w:r>
        <w:rPr>
          <w:rFonts w:ascii="Arial" w:cs="Arial" w:eastAsia="Arial" w:hAnsi="Arial"/>
          <w:sz w:val="16"/>
          <w:szCs w:val="16"/>
          <w:i w:val="1"/>
          <w:iCs w:val="1"/>
          <w:color w:val="auto"/>
        </w:rPr>
        <w:t>Civilization</w:t>
      </w:r>
      <w:r>
        <w:rPr>
          <w:rFonts w:ascii="Arial" w:cs="Arial" w:eastAsia="Arial" w:hAnsi="Arial"/>
          <w:sz w:val="16"/>
          <w:szCs w:val="16"/>
          <w:color w:val="auto"/>
        </w:rPr>
        <w:t xml:space="preserve"> game and the second pack for the critically acclaimed and award-winning </w:t>
      </w:r>
      <w:r>
        <w:rPr>
          <w:rFonts w:ascii="Arial" w:cs="Arial" w:eastAsia="Arial" w:hAnsi="Arial"/>
          <w:sz w:val="16"/>
          <w:szCs w:val="16"/>
          <w:i w:val="1"/>
          <w:iCs w:val="1"/>
          <w:color w:val="auto"/>
        </w:rPr>
        <w:t>Sid Meier’s Civilization VI</w:t>
      </w:r>
      <w:r>
        <w:rPr>
          <w:rFonts w:ascii="Arial" w:cs="Arial" w:eastAsia="Arial" w:hAnsi="Arial"/>
          <w:sz w:val="16"/>
          <w:szCs w:val="16"/>
          <w:color w:val="auto"/>
        </w:rPr>
        <w:t xml:space="preserve"> from Firaxis Games, will be available for Windows PC on February 14, 2019.</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Private Division:</w:t>
      </w:r>
    </w:p>
    <w:p>
      <w:pPr>
        <w:spacing w:after="0" w:line="229" w:lineRule="exact"/>
        <w:rPr>
          <w:sz w:val="20"/>
          <w:szCs w:val="20"/>
          <w:color w:val="auto"/>
        </w:rPr>
      </w:pPr>
    </w:p>
    <w:p>
      <w:pPr>
        <w:jc w:val="both"/>
        <w:ind w:left="340" w:right="120" w:hanging="332"/>
        <w:spacing w:after="0" w:line="264" w:lineRule="auto"/>
        <w:tabs>
          <w:tab w:leader="none" w:pos="304"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Announced that </w:t>
      </w:r>
      <w:r>
        <w:rPr>
          <w:rFonts w:ascii="Arial" w:cs="Arial" w:eastAsia="Arial" w:hAnsi="Arial"/>
          <w:sz w:val="18"/>
          <w:szCs w:val="18"/>
          <w:i w:val="1"/>
          <w:iCs w:val="1"/>
          <w:color w:val="auto"/>
        </w:rPr>
        <w:t>The Outer Worlds</w:t>
      </w:r>
      <w:r>
        <w:rPr>
          <w:rFonts w:ascii="Arial" w:cs="Arial" w:eastAsia="Arial" w:hAnsi="Arial"/>
          <w:sz w:val="18"/>
          <w:szCs w:val="18"/>
          <w:color w:val="auto"/>
        </w:rPr>
        <w:t xml:space="preserve">, a new intellectual property created by Obsidian Entertainment, will be available in calendar 2019 (Take-Two’s fiscal year 2020) on PC, PlayStation 4 and Xbox One. Co-game directors Tim Cain and Leonard Boyarsky, original creators of </w:t>
      </w:r>
      <w:r>
        <w:rPr>
          <w:rFonts w:ascii="Arial" w:cs="Arial" w:eastAsia="Arial" w:hAnsi="Arial"/>
          <w:sz w:val="18"/>
          <w:szCs w:val="18"/>
          <w:i w:val="1"/>
          <w:iCs w:val="1"/>
          <w:color w:val="auto"/>
        </w:rPr>
        <w:t>Fallout</w:t>
      </w:r>
      <w:r>
        <w:rPr>
          <w:rFonts w:ascii="Arial" w:cs="Arial" w:eastAsia="Arial" w:hAnsi="Arial"/>
          <w:sz w:val="18"/>
          <w:szCs w:val="18"/>
          <w:color w:val="auto"/>
        </w:rPr>
        <w:t>, have reunited for this new single-player RPG from the renowned team at Obsidian.</w:t>
      </w:r>
    </w:p>
    <w:p>
      <w:pPr>
        <w:spacing w:after="0" w:line="181" w:lineRule="exact"/>
        <w:rPr>
          <w:rFonts w:ascii="Arial" w:cs="Arial" w:eastAsia="Arial" w:hAnsi="Arial"/>
          <w:sz w:val="18"/>
          <w:szCs w:val="18"/>
          <w:color w:val="auto"/>
        </w:rPr>
      </w:pPr>
    </w:p>
    <w:p>
      <w:pPr>
        <w:ind w:left="300" w:hanging="292"/>
        <w:spacing w:after="0"/>
        <w:tabs>
          <w:tab w:leader="none" w:pos="300" w:val="left"/>
        </w:tabs>
        <w:numPr>
          <w:ilvl w:val="0"/>
          <w:numId w:val="7"/>
        </w:numPr>
        <w:rPr>
          <w:rFonts w:ascii="Arial" w:cs="Arial" w:eastAsia="Arial" w:hAnsi="Arial"/>
          <w:sz w:val="16"/>
          <w:szCs w:val="16"/>
          <w:color w:val="auto"/>
        </w:rPr>
      </w:pPr>
      <w:r>
        <w:rPr>
          <w:rFonts w:ascii="Arial" w:cs="Arial" w:eastAsia="Arial" w:hAnsi="Arial"/>
          <w:sz w:val="16"/>
          <w:szCs w:val="16"/>
          <w:color w:val="auto"/>
        </w:rPr>
        <w:t xml:space="preserve">Announced that </w:t>
      </w:r>
      <w:r>
        <w:rPr>
          <w:rFonts w:ascii="Arial" w:cs="Arial" w:eastAsia="Arial" w:hAnsi="Arial"/>
          <w:sz w:val="16"/>
          <w:szCs w:val="16"/>
          <w:i w:val="1"/>
          <w:iCs w:val="1"/>
          <w:color w:val="auto"/>
        </w:rPr>
        <w:t>Ancestors: The Humankind Odyssey</w:t>
      </w:r>
      <w:r>
        <w:rPr>
          <w:rFonts w:ascii="Arial" w:cs="Arial" w:eastAsia="Arial" w:hAnsi="Arial"/>
          <w:sz w:val="16"/>
          <w:szCs w:val="16"/>
          <w:color w:val="auto"/>
        </w:rPr>
        <w:t xml:space="preserve"> is planned for launch in calendar 2019 (Take-Two’s fiscal year 2020) digitally on PC, PlayStation 4,</w:t>
      </w:r>
    </w:p>
    <w:p>
      <w:pPr>
        <w:spacing w:after="0" w:line="46" w:lineRule="exact"/>
        <w:rPr>
          <w:rFonts w:ascii="Arial" w:cs="Arial" w:eastAsia="Arial" w:hAnsi="Arial"/>
          <w:sz w:val="16"/>
          <w:szCs w:val="16"/>
          <w:color w:val="auto"/>
        </w:rPr>
      </w:pPr>
    </w:p>
    <w:p>
      <w:pPr>
        <w:ind w:left="340" w:right="180"/>
        <w:spacing w:after="0" w:line="261" w:lineRule="auto"/>
        <w:rPr>
          <w:rFonts w:ascii="Arial" w:cs="Arial" w:eastAsia="Arial" w:hAnsi="Arial"/>
          <w:sz w:val="16"/>
          <w:szCs w:val="16"/>
          <w:color w:val="auto"/>
        </w:rPr>
      </w:pPr>
      <w:r>
        <w:rPr>
          <w:rFonts w:ascii="Arial" w:cs="Arial" w:eastAsia="Arial" w:hAnsi="Arial"/>
          <w:sz w:val="18"/>
          <w:szCs w:val="18"/>
          <w:color w:val="auto"/>
        </w:rPr>
        <w:t xml:space="preserve">and Xbox One. </w:t>
      </w:r>
      <w:r>
        <w:rPr>
          <w:rFonts w:ascii="Arial" w:cs="Arial" w:eastAsia="Arial" w:hAnsi="Arial"/>
          <w:sz w:val="18"/>
          <w:szCs w:val="18"/>
          <w:i w:val="1"/>
          <w:iCs w:val="1"/>
          <w:color w:val="auto"/>
        </w:rPr>
        <w:t>Ancestors: The Humankind Odyssey</w:t>
      </w:r>
      <w:r>
        <w:rPr>
          <w:rFonts w:ascii="Arial" w:cs="Arial" w:eastAsia="Arial" w:hAnsi="Arial"/>
          <w:sz w:val="18"/>
          <w:szCs w:val="18"/>
          <w:color w:val="auto"/>
        </w:rPr>
        <w:t xml:space="preserve"> is the debut title from Panache Digital Games, the independent development studio co-founded in 2014 by Patrice Désilets, original creative director of </w:t>
      </w:r>
      <w:r>
        <w:rPr>
          <w:rFonts w:ascii="Arial" w:cs="Arial" w:eastAsia="Arial" w:hAnsi="Arial"/>
          <w:sz w:val="18"/>
          <w:szCs w:val="18"/>
          <w:i w:val="1"/>
          <w:iCs w:val="1"/>
          <w:color w:val="auto"/>
        </w:rPr>
        <w:t>Assassin’s Creed</w:t>
      </w:r>
      <w:r>
        <w:rPr>
          <w:rFonts w:ascii="Arial" w:cs="Arial" w:eastAsia="Arial" w:hAnsi="Arial"/>
          <w:sz w:val="18"/>
          <w:szCs w:val="18"/>
          <w:color w:val="auto"/>
        </w:rPr>
        <w: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Social Point:</w:t>
      </w:r>
    </w:p>
    <w:p>
      <w:pPr>
        <w:spacing w:after="0" w:line="229" w:lineRule="exact"/>
        <w:rPr>
          <w:sz w:val="20"/>
          <w:szCs w:val="20"/>
          <w:color w:val="auto"/>
        </w:rPr>
      </w:pPr>
    </w:p>
    <w:p>
      <w:pPr>
        <w:ind w:left="340" w:right="260" w:hanging="332"/>
        <w:spacing w:after="0" w:line="279" w:lineRule="auto"/>
        <w:tabs>
          <w:tab w:leader="none" w:pos="304" w:val="left"/>
        </w:tabs>
        <w:numPr>
          <w:ilvl w:val="0"/>
          <w:numId w:val="8"/>
        </w:numPr>
        <w:rPr>
          <w:rFonts w:ascii="Arial" w:cs="Arial" w:eastAsia="Arial" w:hAnsi="Arial"/>
          <w:sz w:val="17"/>
          <w:szCs w:val="17"/>
          <w:color w:val="auto"/>
        </w:rPr>
      </w:pPr>
      <w:r>
        <w:rPr>
          <w:rFonts w:ascii="Arial" w:cs="Arial" w:eastAsia="Arial" w:hAnsi="Arial"/>
          <w:sz w:val="17"/>
          <w:szCs w:val="17"/>
          <w:color w:val="auto"/>
        </w:rPr>
        <w:t xml:space="preserve">Launched </w:t>
      </w:r>
      <w:r>
        <w:rPr>
          <w:rFonts w:ascii="Arial" w:cs="Arial" w:eastAsia="Arial" w:hAnsi="Arial"/>
          <w:sz w:val="17"/>
          <w:szCs w:val="17"/>
          <w:i w:val="1"/>
          <w:iCs w:val="1"/>
          <w:color w:val="auto"/>
        </w:rPr>
        <w:t>Tasty Town</w:t>
      </w:r>
      <w:r>
        <w:rPr>
          <w:rFonts w:ascii="Arial" w:cs="Arial" w:eastAsia="Arial" w:hAnsi="Arial"/>
          <w:sz w:val="17"/>
          <w:szCs w:val="17"/>
          <w:color w:val="auto"/>
        </w:rPr>
        <w:t xml:space="preserve">, our latest free-to-play mobile offering, for iOS and Android devices. This all-new game enables players to fulfill their culinary dreams of designing and managing their own restaurant. In </w:t>
      </w:r>
      <w:r>
        <w:rPr>
          <w:rFonts w:ascii="Arial" w:cs="Arial" w:eastAsia="Arial" w:hAnsi="Arial"/>
          <w:sz w:val="17"/>
          <w:szCs w:val="17"/>
          <w:i w:val="1"/>
          <w:iCs w:val="1"/>
          <w:color w:val="auto"/>
        </w:rPr>
        <w:t>Tasty Town</w:t>
      </w:r>
      <w:r>
        <w:rPr>
          <w:rFonts w:ascii="Arial" w:cs="Arial" w:eastAsia="Arial" w:hAnsi="Arial"/>
          <w:sz w:val="17"/>
          <w:szCs w:val="17"/>
          <w:color w:val="auto"/>
        </w:rPr>
        <w:t>, players embark on an incredible journey - from farm to table — to build their gastronomic empire, including experiencing the joy of growing their own ingredients, hiring the best chefs, creating delectable dishes, creating and managing their own restaurant, and racing against the clock to serve meals with their food truck.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18268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According to 2000 - 2019 Metacritic.com and Gamerankings.com.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Outlook for Fiscal 2019</w:t>
      </w:r>
    </w:p>
    <w:p>
      <w:pPr>
        <w:spacing w:after="0" w:line="229"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Take-Two is providing its initial outlook for its fiscal fourth quarter ending March 31, 2019 and is raising its outlook for its fiscal year ending March 31, 2019, as follows: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Fourth Quarter Ending March 31, 2019</w:t>
      </w:r>
    </w:p>
    <w:p>
      <w:pPr>
        <w:spacing w:after="0" w:line="225" w:lineRule="exact"/>
        <w:rPr>
          <w:sz w:val="20"/>
          <w:szCs w:val="20"/>
          <w:color w:val="auto"/>
        </w:rPr>
      </w:pPr>
    </w:p>
    <w:p>
      <w:pPr>
        <w:ind w:left="300" w:hanging="292"/>
        <w:spacing w:after="0"/>
        <w:tabs>
          <w:tab w:leader="none" w:pos="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GAAP net revenue is expected to range from $530 to $580 million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GAAP net income is expected to range from $76 to $89 million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$0.67 to $0.77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8" w:name="page9"/>
    <w:bookmarkEnd w:id="8"/>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Share count used to calculate both GAAP and management reporting diluted net income per share is expected to be 114.6 million (1)</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$450 to $500 million</w:t>
      </w:r>
    </w:p>
    <w:p>
      <w:pPr>
        <w:spacing w:after="0" w:line="225" w:lineRule="exact"/>
        <w:rPr>
          <w:sz w:val="20"/>
          <w:szCs w:val="20"/>
          <w:color w:val="auto"/>
        </w:rPr>
      </w:pPr>
    </w:p>
    <w:p>
      <w:pPr>
        <w:jc w:val="both"/>
        <w:ind w:right="540"/>
        <w:spacing w:after="0" w:line="264" w:lineRule="auto"/>
        <w:rPr>
          <w:sz w:val="20"/>
          <w:szCs w:val="20"/>
          <w:color w:val="auto"/>
        </w:rPr>
      </w:pPr>
      <w:r>
        <w:rPr>
          <w:rFonts w:ascii="Arial" w:cs="Arial" w:eastAsia="Arial" w:hAnsi="Arial"/>
          <w:sz w:val="18"/>
          <w:szCs w:val="18"/>
          <w:color w:val="auto"/>
        </w:rPr>
        <w:t>The Company is also providing selected data and its management reporting tax rate of 20%, which are used internally by its management and Board of Directors to adjust the Company’s GAAP financial outlook in order to facilitate comparison of its operating performance between periods and to better understand its core business and future outlook:</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300" w:type="dxa"/>
            <w:vAlign w:val="bottom"/>
            <w:tcBorders>
              <w:bottom w:val="single" w:sz="8" w:color="auto"/>
            </w:tcBorders>
            <w:gridSpan w:val="7"/>
          </w:tcPr>
          <w:p>
            <w:pPr>
              <w:jc w:val="right"/>
              <w:ind w:right="680"/>
              <w:spacing w:after="0"/>
              <w:rPr>
                <w:sz w:val="20"/>
                <w:szCs w:val="20"/>
                <w:color w:val="auto"/>
              </w:rPr>
            </w:pPr>
            <w:r>
              <w:rPr>
                <w:rFonts w:ascii="Arial" w:cs="Arial" w:eastAsia="Arial" w:hAnsi="Arial"/>
                <w:sz w:val="14"/>
                <w:szCs w:val="14"/>
                <w:b w:val="1"/>
                <w:bCs w:val="1"/>
                <w:color w:val="auto"/>
              </w:rPr>
              <w:t>Three Months Ending March 31, 2019</w:t>
            </w: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gridSpan w:val="2"/>
          </w:tcPr>
          <w:p>
            <w:pPr>
              <w:jc w:val="center"/>
              <w:ind w:right="460"/>
              <w:spacing w:after="0" w:line="142" w:lineRule="exact"/>
              <w:rPr>
                <w:sz w:val="20"/>
                <w:szCs w:val="20"/>
                <w:color w:val="auto"/>
              </w:rPr>
            </w:pPr>
            <w:r>
              <w:rPr>
                <w:rFonts w:ascii="Arial" w:cs="Arial" w:eastAsia="Arial" w:hAnsi="Arial"/>
                <w:sz w:val="14"/>
                <w:szCs w:val="14"/>
                <w:b w:val="1"/>
                <w:bCs w:val="1"/>
                <w:color w:val="auto"/>
                <w:w w:val="94"/>
              </w:rPr>
              <w:t>Financial Data</w:t>
            </w: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140" w:type="dxa"/>
            <w:vAlign w:val="bottom"/>
          </w:tcPr>
          <w:p>
            <w:pPr>
              <w:jc w:val="center"/>
              <w:ind w:left="163"/>
              <w:spacing w:after="0" w:line="119" w:lineRule="exact"/>
              <w:rPr>
                <w:sz w:val="20"/>
                <w:szCs w:val="20"/>
                <w:color w:val="auto"/>
              </w:rPr>
            </w:pPr>
            <w:r>
              <w:rPr>
                <w:rFonts w:ascii="Arial" w:cs="Arial" w:eastAsia="Arial" w:hAnsi="Arial"/>
                <w:sz w:val="13"/>
                <w:szCs w:val="13"/>
                <w:b w:val="1"/>
                <w:bCs w:val="1"/>
                <w:color w:val="auto"/>
                <w:w w:val="98"/>
              </w:rPr>
              <w:t>Change in</w:t>
            </w: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5"/>
              </w:rPr>
              <w:t>Amortization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Pr>
          <w:p>
            <w:pPr>
              <w:jc w:val="center"/>
              <w:ind w:left="183"/>
              <w:spacing w:after="0" w:line="149" w:lineRule="exact"/>
              <w:rPr>
                <w:sz w:val="20"/>
                <w:szCs w:val="20"/>
                <w:color w:val="auto"/>
              </w:rPr>
            </w:pPr>
            <w:r>
              <w:rPr>
                <w:rFonts w:ascii="Arial" w:cs="Arial" w:eastAsia="Arial" w:hAnsi="Arial"/>
                <w:sz w:val="14"/>
                <w:szCs w:val="14"/>
                <w:b w:val="1"/>
                <w:bCs w:val="1"/>
                <w:color w:val="auto"/>
                <w:w w:val="93"/>
              </w:rPr>
              <w:t>deferred net</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tcPr>
          <w:p>
            <w:pPr>
              <w:jc w:val="center"/>
              <w:ind w:left="183"/>
              <w:spacing w:after="0" w:line="149" w:lineRule="exact"/>
              <w:rPr>
                <w:sz w:val="20"/>
                <w:szCs w:val="20"/>
                <w:color w:val="auto"/>
              </w:rPr>
            </w:pPr>
            <w:r>
              <w:rPr>
                <w:rFonts w:ascii="Arial" w:cs="Arial" w:eastAsia="Arial" w:hAnsi="Arial"/>
                <w:sz w:val="14"/>
                <w:szCs w:val="14"/>
                <w:b w:val="1"/>
                <w:bCs w:val="1"/>
                <w:color w:val="auto"/>
                <w:w w:val="92"/>
              </w:rPr>
              <w:t>revenue and</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8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88"/>
              </w:rPr>
              <w:t>Stock-based</w:t>
            </w:r>
          </w:p>
        </w:tc>
        <w:tc>
          <w:tcPr>
            <w:tcW w:w="140" w:type="dxa"/>
            <w:vAlign w:val="bottom"/>
          </w:tcPr>
          <w:p>
            <w:pPr>
              <w:spacing w:after="0"/>
              <w:rPr>
                <w:sz w:val="12"/>
                <w:szCs w:val="12"/>
                <w:color w:val="auto"/>
              </w:rPr>
            </w:pPr>
          </w:p>
        </w:tc>
        <w:tc>
          <w:tcPr>
            <w:tcW w:w="13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acquired</w:t>
            </w:r>
          </w:p>
        </w:tc>
        <w:tc>
          <w:tcPr>
            <w:tcW w:w="0" w:type="dxa"/>
            <w:vAlign w:val="bottom"/>
          </w:tcPr>
          <w:p>
            <w:pPr>
              <w:spacing w:after="0"/>
              <w:rPr>
                <w:sz w:val="1"/>
                <w:szCs w:val="1"/>
                <w:color w:val="auto"/>
              </w:rPr>
            </w:pPr>
          </w:p>
        </w:tc>
      </w:tr>
      <w:tr>
        <w:trPr>
          <w:trHeight w:val="149"/>
        </w:trPr>
        <w:tc>
          <w:tcPr>
            <w:tcW w:w="48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 in millions</w:t>
            </w:r>
          </w:p>
        </w:tc>
        <w:tc>
          <w:tcPr>
            <w:tcW w:w="17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GAAP outlook (2)</w:t>
            </w:r>
          </w:p>
        </w:tc>
        <w:tc>
          <w:tcPr>
            <w:tcW w:w="1140" w:type="dxa"/>
            <w:vAlign w:val="bottom"/>
          </w:tcPr>
          <w:p>
            <w:pPr>
              <w:jc w:val="center"/>
              <w:ind w:left="163"/>
              <w:spacing w:after="0" w:line="149" w:lineRule="exact"/>
              <w:rPr>
                <w:sz w:val="20"/>
                <w:szCs w:val="20"/>
                <w:color w:val="auto"/>
              </w:rPr>
            </w:pPr>
            <w:r>
              <w:rPr>
                <w:rFonts w:ascii="Arial" w:cs="Arial" w:eastAsia="Arial" w:hAnsi="Arial"/>
                <w:sz w:val="14"/>
                <w:szCs w:val="14"/>
                <w:b w:val="1"/>
                <w:bCs w:val="1"/>
                <w:color w:val="auto"/>
                <w:w w:val="89"/>
              </w:rPr>
              <w:t>related cost of</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intangible</w:t>
            </w:r>
          </w:p>
        </w:tc>
        <w:tc>
          <w:tcPr>
            <w:tcW w:w="0" w:type="dxa"/>
            <w:vAlign w:val="bottom"/>
          </w:tcPr>
          <w:p>
            <w:pPr>
              <w:spacing w:after="0"/>
              <w:rPr>
                <w:sz w:val="1"/>
                <w:szCs w:val="1"/>
                <w:color w:val="auto"/>
              </w:rPr>
            </w:pPr>
          </w:p>
        </w:tc>
      </w:tr>
      <w:tr>
        <w:trPr>
          <w:trHeight w:val="171"/>
        </w:trPr>
        <w:tc>
          <w:tcPr>
            <w:tcW w:w="4880" w:type="dxa"/>
            <w:vAlign w:val="bottom"/>
            <w:gridSpan w:val="3"/>
            <w:vMerge w:val="continue"/>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1140" w:type="dxa"/>
            <w:vAlign w:val="bottom"/>
          </w:tcPr>
          <w:p>
            <w:pPr>
              <w:jc w:val="center"/>
              <w:ind w:left="183"/>
              <w:spacing w:after="0"/>
              <w:rPr>
                <w:sz w:val="20"/>
                <w:szCs w:val="20"/>
                <w:color w:val="auto"/>
              </w:rPr>
            </w:pPr>
            <w:r>
              <w:rPr>
                <w:rFonts w:ascii="Arial" w:cs="Arial" w:eastAsia="Arial" w:hAnsi="Arial"/>
                <w:sz w:val="14"/>
                <w:szCs w:val="14"/>
                <w:b w:val="1"/>
                <w:bCs w:val="1"/>
                <w:color w:val="auto"/>
                <w:w w:val="85"/>
              </w:rPr>
              <w:t>goods sold</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8"/>
              </w:rPr>
              <w:t>compensation</w:t>
            </w:r>
          </w:p>
        </w:tc>
        <w:tc>
          <w:tcPr>
            <w:tcW w:w="14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2"/>
              </w:rPr>
              <w:t>assets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56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17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b w:val="1"/>
                <w:bCs w:val="1"/>
                <w:color w:val="auto"/>
                <w:w w:val="89"/>
              </w:rPr>
              <w:t>$530 to $580</w:t>
            </w:r>
          </w:p>
        </w:tc>
        <w:tc>
          <w:tcPr>
            <w:tcW w:w="1140" w:type="dxa"/>
            <w:vAlign w:val="bottom"/>
            <w:shd w:val="clear" w:color="auto" w:fill="CCEEFF"/>
          </w:tcPr>
          <w:p>
            <w:pPr>
              <w:jc w:val="right"/>
              <w:ind w:right="963"/>
              <w:spacing w:after="0"/>
              <w:rPr>
                <w:sz w:val="20"/>
                <w:szCs w:val="20"/>
                <w:color w:val="auto"/>
              </w:rPr>
            </w:pPr>
            <w:r>
              <w:rPr>
                <w:rFonts w:ascii="Arial" w:cs="Arial" w:eastAsia="Arial" w:hAnsi="Arial"/>
                <w:sz w:val="18"/>
                <w:szCs w:val="18"/>
                <w:b w:val="1"/>
                <w:bCs w:val="1"/>
                <w:color w:val="auto"/>
                <w:w w:val="79"/>
              </w:rPr>
              <w:t>$</w:t>
            </w: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87"/>
              </w:rPr>
              <w:t>(80)</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gridSpan w:val="2"/>
          </w:tcPr>
          <w:p>
            <w:pPr>
              <w:spacing w:after="0"/>
              <w:rPr>
                <w:sz w:val="20"/>
                <w:szCs w:val="20"/>
                <w:color w:val="auto"/>
              </w:rPr>
            </w:pPr>
            <w:r>
              <w:rPr>
                <w:rFonts w:ascii="Arial" w:cs="Arial" w:eastAsia="Arial" w:hAnsi="Arial"/>
                <w:sz w:val="18"/>
                <w:szCs w:val="18"/>
                <w:b w:val="1"/>
                <w:bCs w:val="1"/>
                <w:color w:val="auto"/>
              </w:rPr>
              <w:t>Cost of goods sold</w:t>
            </w:r>
          </w:p>
        </w:tc>
        <w:tc>
          <w:tcPr>
            <w:tcW w:w="17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$248 to $274</w:t>
            </w:r>
          </w:p>
        </w:tc>
        <w:tc>
          <w:tcPr>
            <w:tcW w:w="1140" w:type="dxa"/>
            <w:vAlign w:val="bottom"/>
          </w:tcPr>
          <w:p>
            <w:pPr>
              <w:jc w:val="right"/>
              <w:ind w:right="963"/>
              <w:spacing w:after="0"/>
              <w:rPr>
                <w:sz w:val="20"/>
                <w:szCs w:val="20"/>
                <w:color w:val="auto"/>
              </w:rPr>
            </w:pPr>
            <w:r>
              <w:rPr>
                <w:rFonts w:ascii="Arial" w:cs="Arial" w:eastAsia="Arial" w:hAnsi="Arial"/>
                <w:sz w:val="18"/>
                <w:szCs w:val="18"/>
                <w:b w:val="1"/>
                <w:bCs w:val="1"/>
                <w:color w:val="auto"/>
                <w:w w:val="79"/>
              </w:rPr>
              <w:t>$</w:t>
            </w:r>
          </w:p>
        </w:tc>
        <w:tc>
          <w:tcPr>
            <w:tcW w:w="42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87"/>
              </w:rPr>
              <w:t>(22)</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(28)</w:t>
            </w: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78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b w:val="1"/>
                <w:bCs w:val="1"/>
                <w:color w:val="auto"/>
                <w:w w:val="89"/>
              </w:rPr>
              <w:t>$205 to $215</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gridSpan w:val="2"/>
          </w:tcPr>
          <w:p>
            <w:pPr>
              <w:spacing w:after="0"/>
              <w:rPr>
                <w:sz w:val="20"/>
                <w:szCs w:val="20"/>
                <w:color w:val="auto"/>
              </w:rPr>
            </w:pPr>
            <w:r>
              <w:rPr>
                <w:rFonts w:ascii="Arial" w:cs="Arial" w:eastAsia="Arial" w:hAnsi="Arial"/>
                <w:sz w:val="18"/>
                <w:szCs w:val="18"/>
                <w:b w:val="1"/>
                <w:bCs w:val="1"/>
                <w:color w:val="auto"/>
              </w:rPr>
              <w:t>Interest and other, net</w:t>
            </w:r>
          </w:p>
        </w:tc>
        <w:tc>
          <w:tcPr>
            <w:tcW w:w="1480" w:type="dxa"/>
            <w:vAlign w:val="bottom"/>
          </w:tcPr>
          <w:p>
            <w:pPr>
              <w:jc w:val="center"/>
              <w:spacing w:after="0"/>
              <w:rPr>
                <w:sz w:val="20"/>
                <w:szCs w:val="20"/>
                <w:color w:val="auto"/>
              </w:rPr>
            </w:pPr>
            <w:r>
              <w:rPr>
                <w:rFonts w:ascii="Arial" w:cs="Arial" w:eastAsia="Arial" w:hAnsi="Arial"/>
                <w:sz w:val="18"/>
                <w:szCs w:val="18"/>
                <w:b w:val="1"/>
                <w:bCs w:val="1"/>
                <w:color w:val="auto"/>
                <w:w w:val="90"/>
              </w:rPr>
              <w:t>($10)</w:t>
            </w:r>
          </w:p>
        </w:tc>
        <w:tc>
          <w:tcPr>
            <w:tcW w:w="3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7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b w:val="1"/>
                <w:bCs w:val="1"/>
                <w:color w:val="auto"/>
                <w:w w:val="88"/>
              </w:rPr>
              <w:t>$87 to $101</w:t>
            </w:r>
          </w:p>
        </w:tc>
        <w:tc>
          <w:tcPr>
            <w:tcW w:w="1140" w:type="dxa"/>
            <w:vAlign w:val="bottom"/>
            <w:shd w:val="clear" w:color="auto" w:fill="CCEEFF"/>
          </w:tcPr>
          <w:p>
            <w:pPr>
              <w:jc w:val="right"/>
              <w:ind w:right="963"/>
              <w:spacing w:after="0"/>
              <w:rPr>
                <w:sz w:val="20"/>
                <w:szCs w:val="20"/>
                <w:color w:val="auto"/>
              </w:rPr>
            </w:pPr>
            <w:r>
              <w:rPr>
                <w:rFonts w:ascii="Arial" w:cs="Arial" w:eastAsia="Arial" w:hAnsi="Arial"/>
                <w:sz w:val="18"/>
                <w:szCs w:val="18"/>
                <w:b w:val="1"/>
                <w:bCs w:val="1"/>
                <w:color w:val="auto"/>
                <w:w w:val="79"/>
              </w:rPr>
              <w:t>$</w:t>
            </w: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w w:val="87"/>
              </w:rPr>
              <w:t>(58)</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Fiscal Year Ending March 31, 2019</w:t>
      </w:r>
    </w:p>
    <w:p>
      <w:pPr>
        <w:spacing w:after="0" w:line="225" w:lineRule="exact"/>
        <w:rPr>
          <w:sz w:val="20"/>
          <w:szCs w:val="20"/>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revenue is expected to range from $2.66 to $2.71 billion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income is expected to range from $354 to $367 million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$3.07 to $3.18</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Share count used to calculate both GAAP and management reporting diluted net income per share is expected to be 115.5 million (3)</w:t>
      </w:r>
    </w:p>
    <w:p>
      <w:pPr>
        <w:spacing w:after="0" w:line="225" w:lineRule="exact"/>
        <w:rPr>
          <w:rFonts w:ascii="Arial" w:cs="Arial" w:eastAsia="Arial" w:hAnsi="Arial"/>
          <w:sz w:val="18"/>
          <w:szCs w:val="18"/>
          <w:color w:val="auto"/>
        </w:rPr>
      </w:pPr>
    </w:p>
    <w:p>
      <w:pPr>
        <w:ind w:left="340" w:right="80" w:hanging="332"/>
        <w:spacing w:after="0" w:line="342" w:lineRule="auto"/>
        <w:tabs>
          <w:tab w:leader="none" w:pos="304" w:val="left"/>
        </w:tabs>
        <w:numPr>
          <w:ilvl w:val="0"/>
          <w:numId w:val="11"/>
        </w:numPr>
        <w:rPr>
          <w:rFonts w:ascii="Arial" w:cs="Arial" w:eastAsia="Arial" w:hAnsi="Arial"/>
          <w:sz w:val="16"/>
          <w:szCs w:val="16"/>
          <w:color w:val="auto"/>
        </w:rPr>
      </w:pPr>
      <w:r>
        <w:rPr>
          <w:rFonts w:ascii="Arial" w:cs="Arial" w:eastAsia="Arial" w:hAnsi="Arial"/>
          <w:sz w:val="16"/>
          <w:szCs w:val="16"/>
          <w:color w:val="auto"/>
        </w:rPr>
        <w:t xml:space="preserve">Net cash provided by operating activities is expected to be approximately $545 million, which includes a decrease of $195 million recorded in the first 9-months of fiscal 2019 due to the Company’s adoption of Accounting Standards Update 2016-18, </w:t>
      </w:r>
      <w:r>
        <w:rPr>
          <w:rFonts w:ascii="Arial" w:cs="Arial" w:eastAsia="Arial" w:hAnsi="Arial"/>
          <w:sz w:val="16"/>
          <w:szCs w:val="16"/>
          <w:i w:val="1"/>
          <w:iCs w:val="1"/>
          <w:color w:val="auto"/>
        </w:rPr>
        <w:t>Statement of Cash Flows (Topic 230): Restricted Cash</w:t>
      </w:r>
    </w:p>
    <w:p>
      <w:pPr>
        <w:spacing w:after="0" w:line="123" w:lineRule="exact"/>
        <w:rPr>
          <w:rFonts w:ascii="Arial" w:cs="Arial" w:eastAsia="Arial" w:hAnsi="Arial"/>
          <w:sz w:val="16"/>
          <w:szCs w:val="16"/>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Adjusted Operating Cash Flow (Non-GAAP) is expected to be approximately $740 million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Capital expenditures are expected to be approximately $60 million</w:t>
      </w:r>
    </w:p>
    <w:p>
      <w:pPr>
        <w:spacing w:after="0" w:line="225" w:lineRule="exact"/>
        <w:rPr>
          <w:rFonts w:ascii="Arial" w:cs="Arial" w:eastAsia="Arial" w:hAnsi="Arial"/>
          <w:sz w:val="18"/>
          <w:szCs w:val="18"/>
          <w:color w:val="auto"/>
        </w:rPr>
      </w:pPr>
    </w:p>
    <w:p>
      <w:pPr>
        <w:ind w:left="300" w:hanging="292"/>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$2.89 to $2.94 billion</w:t>
      </w:r>
    </w:p>
    <w:p>
      <w:pPr>
        <w:spacing w:after="0" w:line="225" w:lineRule="exact"/>
        <w:rPr>
          <w:sz w:val="20"/>
          <w:szCs w:val="20"/>
          <w:color w:val="auto"/>
        </w:rPr>
      </w:pPr>
    </w:p>
    <w:p>
      <w:pPr>
        <w:jc w:val="both"/>
        <w:ind w:right="540"/>
        <w:spacing w:after="0" w:line="264" w:lineRule="auto"/>
        <w:rPr>
          <w:sz w:val="20"/>
          <w:szCs w:val="20"/>
          <w:color w:val="auto"/>
        </w:rPr>
      </w:pPr>
      <w:r>
        <w:rPr>
          <w:rFonts w:ascii="Arial" w:cs="Arial" w:eastAsia="Arial" w:hAnsi="Arial"/>
          <w:sz w:val="18"/>
          <w:szCs w:val="18"/>
          <w:color w:val="auto"/>
        </w:rPr>
        <w:t>The Company is also providing selected data and its management reporting tax rate of 20%, which are used internally by its management and Board of Directors to adjust the Company’s GAAP financial outlook in order to facilitate comparison of its operating performance between periods and to better understand its core business and future outlook:</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240" w:type="dxa"/>
            <w:vAlign w:val="bottom"/>
            <w:tcBorders>
              <w:bottom w:val="single" w:sz="8" w:color="auto"/>
            </w:tcBorders>
            <w:gridSpan w:val="9"/>
          </w:tcPr>
          <w:p>
            <w:pPr>
              <w:jc w:val="right"/>
              <w:ind w:right="1260"/>
              <w:spacing w:after="0"/>
              <w:rPr>
                <w:sz w:val="20"/>
                <w:szCs w:val="20"/>
                <w:color w:val="auto"/>
              </w:rPr>
            </w:pPr>
            <w:r>
              <w:rPr>
                <w:rFonts w:ascii="Arial" w:cs="Arial" w:eastAsia="Arial" w:hAnsi="Arial"/>
                <w:sz w:val="14"/>
                <w:szCs w:val="14"/>
                <w:b w:val="1"/>
                <w:bCs w:val="1"/>
                <w:color w:val="auto"/>
              </w:rPr>
              <w:t>Twelve Months Ending March 31, 2019</w:t>
            </w:r>
          </w:p>
        </w:tc>
        <w:tc>
          <w:tcPr>
            <w:tcW w:w="14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2720" w:type="dxa"/>
            <w:vAlign w:val="bottom"/>
            <w:tcBorders>
              <w:bottom w:val="single" w:sz="8" w:color="auto"/>
            </w:tcBorders>
            <w:gridSpan w:val="5"/>
          </w:tcPr>
          <w:p>
            <w:pPr>
              <w:jc w:val="right"/>
              <w:ind w:right="1060"/>
              <w:spacing w:after="0" w:line="142" w:lineRule="exact"/>
              <w:rPr>
                <w:sz w:val="20"/>
                <w:szCs w:val="20"/>
                <w:color w:val="auto"/>
              </w:rPr>
            </w:pPr>
            <w:r>
              <w:rPr>
                <w:rFonts w:ascii="Arial" w:cs="Arial" w:eastAsia="Arial" w:hAnsi="Arial"/>
                <w:sz w:val="14"/>
                <w:szCs w:val="14"/>
                <w:b w:val="1"/>
                <w:bCs w:val="1"/>
                <w:color w:val="auto"/>
              </w:rPr>
              <w:t>Financial Data</w:t>
            </w:r>
          </w:p>
        </w:tc>
        <w:tc>
          <w:tcPr>
            <w:tcW w:w="14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3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60" w:type="dxa"/>
            <w:vAlign w:val="bottom"/>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w w:val="98"/>
              </w:rPr>
              <w:t>Change in</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5"/>
              </w:rPr>
              <w:t>Amortization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deferred net</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3"/>
              </w:rPr>
              <w:t>Impact of</w:t>
            </w:r>
          </w:p>
        </w:tc>
        <w:tc>
          <w:tcPr>
            <w:tcW w:w="14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revenue and</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w w:val="96"/>
              </w:rPr>
              <w:t>Stock-based</w:t>
            </w:r>
          </w:p>
        </w:tc>
        <w:tc>
          <w:tcPr>
            <w:tcW w:w="100" w:type="dxa"/>
            <w:vAlign w:val="bottom"/>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acquired</w:t>
            </w:r>
          </w:p>
        </w:tc>
        <w:tc>
          <w:tcPr>
            <w:tcW w:w="0" w:type="dxa"/>
            <w:vAlign w:val="bottom"/>
          </w:tcPr>
          <w:p>
            <w:pPr>
              <w:spacing w:after="0"/>
              <w:rPr>
                <w:sz w:val="1"/>
                <w:szCs w:val="1"/>
                <w:color w:val="auto"/>
              </w:rPr>
            </w:pPr>
          </w:p>
        </w:tc>
      </w:tr>
      <w:tr>
        <w:trPr>
          <w:trHeight w:val="149"/>
        </w:trPr>
        <w:tc>
          <w:tcPr>
            <w:tcW w:w="36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 in millions</w:t>
            </w:r>
          </w:p>
        </w:tc>
        <w:tc>
          <w:tcPr>
            <w:tcW w:w="16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GAAP outlook (2)</w:t>
            </w: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related cost of</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2"/>
              </w:rPr>
              <w:t>business</w:t>
            </w:r>
          </w:p>
        </w:tc>
        <w:tc>
          <w:tcPr>
            <w:tcW w:w="140" w:type="dxa"/>
            <w:vAlign w:val="bottom"/>
          </w:tcPr>
          <w:p>
            <w:pPr>
              <w:spacing w:after="0"/>
              <w:rPr>
                <w:sz w:val="12"/>
                <w:szCs w:val="12"/>
                <w:color w:val="auto"/>
              </w:rPr>
            </w:pPr>
          </w:p>
        </w:tc>
        <w:tc>
          <w:tcPr>
            <w:tcW w:w="13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intangible</w:t>
            </w:r>
          </w:p>
        </w:tc>
        <w:tc>
          <w:tcPr>
            <w:tcW w:w="0" w:type="dxa"/>
            <w:vAlign w:val="bottom"/>
          </w:tcPr>
          <w:p>
            <w:pPr>
              <w:spacing w:after="0"/>
              <w:rPr>
                <w:sz w:val="1"/>
                <w:szCs w:val="1"/>
                <w:color w:val="auto"/>
              </w:rPr>
            </w:pPr>
          </w:p>
        </w:tc>
      </w:tr>
      <w:tr>
        <w:trPr>
          <w:trHeight w:val="171"/>
        </w:trPr>
        <w:tc>
          <w:tcPr>
            <w:tcW w:w="3680" w:type="dxa"/>
            <w:vAlign w:val="bottom"/>
            <w:gridSpan w:val="3"/>
            <w:vMerge w:val="continue"/>
          </w:tcPr>
          <w:p>
            <w:pPr>
              <w:spacing w:after="0"/>
              <w:rPr>
                <w:sz w:val="14"/>
                <w:szCs w:val="14"/>
                <w:color w:val="auto"/>
              </w:rPr>
            </w:pPr>
          </w:p>
        </w:tc>
        <w:tc>
          <w:tcPr>
            <w:tcW w:w="160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goods sold</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0"/>
              </w:rPr>
              <w:t>compensation</w:t>
            </w:r>
          </w:p>
        </w:tc>
        <w:tc>
          <w:tcPr>
            <w:tcW w:w="100" w:type="dxa"/>
            <w:vAlign w:val="bottom"/>
          </w:tcPr>
          <w:p>
            <w:pPr>
              <w:spacing w:after="0"/>
              <w:rPr>
                <w:sz w:val="14"/>
                <w:szCs w:val="14"/>
                <w:color w:val="auto"/>
              </w:rPr>
            </w:pPr>
          </w:p>
        </w:tc>
        <w:tc>
          <w:tcPr>
            <w:tcW w:w="13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3"/>
              </w:rPr>
              <w:t>reorganization</w:t>
            </w:r>
          </w:p>
        </w:tc>
        <w:tc>
          <w:tcPr>
            <w:tcW w:w="140" w:type="dxa"/>
            <w:vAlign w:val="bottom"/>
          </w:tcPr>
          <w:p>
            <w:pPr>
              <w:spacing w:after="0"/>
              <w:rPr>
                <w:sz w:val="14"/>
                <w:szCs w:val="14"/>
                <w:color w:val="auto"/>
              </w:rPr>
            </w:pPr>
          </w:p>
        </w:tc>
        <w:tc>
          <w:tcPr>
            <w:tcW w:w="13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2"/>
              </w:rPr>
              <w:t>assets</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36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8"/>
              </w:rPr>
              <w:t>$2,659 to $2,709</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231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Cost of goods sold</w:t>
            </w:r>
          </w:p>
        </w:tc>
        <w:tc>
          <w:tcPr>
            <w:tcW w:w="1600" w:type="dxa"/>
            <w:vAlign w:val="bottom"/>
          </w:tcPr>
          <w:p>
            <w:pPr>
              <w:jc w:val="center"/>
              <w:spacing w:after="0"/>
              <w:rPr>
                <w:sz w:val="20"/>
                <w:szCs w:val="20"/>
                <w:color w:val="auto"/>
              </w:rPr>
            </w:pPr>
            <w:r>
              <w:rPr>
                <w:rFonts w:ascii="Arial" w:cs="Arial" w:eastAsia="Arial" w:hAnsi="Arial"/>
                <w:sz w:val="18"/>
                <w:szCs w:val="18"/>
                <w:b w:val="1"/>
                <w:bCs w:val="1"/>
                <w:color w:val="auto"/>
                <w:w w:val="88"/>
              </w:rPr>
              <w:t>$1,513 to $1,538</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93</w:t>
            </w:r>
          </w:p>
        </w:tc>
        <w:tc>
          <w:tcPr>
            <w:tcW w:w="140" w:type="dxa"/>
            <w:vAlign w:val="bottom"/>
          </w:tcPr>
          <w:p>
            <w:pPr>
              <w:spacing w:after="0"/>
              <w:rPr>
                <w:sz w:val="18"/>
                <w:szCs w:val="18"/>
                <w:color w:val="auto"/>
              </w:rPr>
            </w:pPr>
          </w:p>
        </w:tc>
        <w:tc>
          <w:tcPr>
            <w:tcW w:w="26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(171)</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$921 to $931</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3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(97)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tcPr>
          <w:p>
            <w:pPr>
              <w:spacing w:after="0"/>
              <w:rPr>
                <w:sz w:val="20"/>
                <w:szCs w:val="20"/>
                <w:color w:val="auto"/>
              </w:rPr>
            </w:pPr>
            <w:r>
              <w:rPr>
                <w:rFonts w:ascii="Arial" w:cs="Arial" w:eastAsia="Arial" w:hAnsi="Arial"/>
                <w:sz w:val="18"/>
                <w:szCs w:val="18"/>
                <w:b w:val="1"/>
                <w:bCs w:val="1"/>
                <w:color w:val="auto"/>
              </w:rPr>
              <w:t>Interest and other, net</w:t>
            </w:r>
          </w:p>
        </w:tc>
        <w:tc>
          <w:tcPr>
            <w:tcW w:w="1600" w:type="dxa"/>
            <w:vAlign w:val="bottom"/>
          </w:tcPr>
          <w:p>
            <w:pPr>
              <w:jc w:val="center"/>
              <w:spacing w:after="0"/>
              <w:rPr>
                <w:sz w:val="20"/>
                <w:szCs w:val="20"/>
                <w:color w:val="auto"/>
              </w:rPr>
            </w:pPr>
            <w:r>
              <w:rPr>
                <w:rFonts w:ascii="Arial" w:cs="Arial" w:eastAsia="Arial" w:hAnsi="Arial"/>
                <w:sz w:val="18"/>
                <w:szCs w:val="18"/>
                <w:b w:val="1"/>
                <w:bCs w:val="1"/>
                <w:color w:val="auto"/>
                <w:w w:val="90"/>
              </w:rPr>
              <w:t>($30)</w:t>
            </w:r>
          </w:p>
        </w:tc>
        <w:tc>
          <w:tcPr>
            <w:tcW w:w="44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8"/>
              </w:rPr>
              <w:t>$255 to 270</w:t>
            </w: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137</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268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720" w:hanging="323"/>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113.1 million basic shares and 1.5 million shares representing the potential dilution from unvested employee stock grants.</w:t>
      </w:r>
    </w:p>
    <w:p>
      <w:pPr>
        <w:spacing w:after="0" w:line="225" w:lineRule="exact"/>
        <w:rPr>
          <w:rFonts w:ascii="Arial" w:cs="Arial" w:eastAsia="Arial" w:hAnsi="Arial"/>
          <w:sz w:val="18"/>
          <w:szCs w:val="18"/>
          <w:color w:val="auto"/>
        </w:rPr>
      </w:pPr>
    </w:p>
    <w:p>
      <w:pPr>
        <w:ind w:left="720" w:right="20" w:hanging="323"/>
        <w:spacing w:after="0" w:line="277" w:lineRule="auto"/>
        <w:tabs>
          <w:tab w:leader="none" w:pos="721"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individual components of the financial outlook may not foot to the totals, as the Company does not expect actual results for every component to be at the low end or high end of the outlook range simultaneously.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 w:name="page10"/>
    <w:bookmarkEnd w:id="9"/>
    <w:p>
      <w:pPr>
        <w:ind w:left="400"/>
        <w:spacing w:after="0"/>
        <w:tabs>
          <w:tab w:leader="none" w:pos="700" w:val="left"/>
        </w:tabs>
        <w:rPr>
          <w:sz w:val="20"/>
          <w:szCs w:val="20"/>
          <w:color w:val="auto"/>
        </w:rPr>
      </w:pPr>
      <w:r>
        <w:rPr>
          <w:rFonts w:ascii="Arial" w:cs="Arial" w:eastAsia="Arial" w:hAnsi="Arial"/>
          <w:sz w:val="18"/>
          <w:szCs w:val="18"/>
          <w:color w:val="auto"/>
        </w:rPr>
        <w:t>3)</w:t>
      </w:r>
      <w:r>
        <w:rPr>
          <w:sz w:val="20"/>
          <w:szCs w:val="20"/>
          <w:color w:val="auto"/>
        </w:rPr>
        <w:tab/>
      </w:r>
      <w:r>
        <w:rPr>
          <w:rFonts w:ascii="Arial" w:cs="Arial" w:eastAsia="Arial" w:hAnsi="Arial"/>
          <w:sz w:val="16"/>
          <w:szCs w:val="16"/>
          <w:color w:val="auto"/>
        </w:rPr>
        <w:t>Includes 113.4 million basic shares and 2.1 million shares representing the potential dilution from unvested employee stock grants.</w:t>
      </w:r>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Key assumptions and dependencies underlying the Company’s outlook include: the timely delivery of the titles included in this financial outlook; continued consumer acceptance of Xbox One and PlayStation 4; the ability to develop and publish products that capture market share for these current generation systems while also leveraging opportunities on Nintendo Switch, Xbox 360, PlayStation 3, PC and mobile platforms; and stable foreign exchange rates. See also “Cautionary Note Regarding Forward Looking Statements” below.</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Product Releases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titles were released since October 1, 2018:</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660" w:type="dxa"/>
            <w:vAlign w:val="bottom"/>
          </w:tcPr>
          <w:p>
            <w:pPr>
              <w:spacing w:after="0"/>
              <w:rPr>
                <w:sz w:val="20"/>
                <w:szCs w:val="20"/>
                <w:color w:val="auto"/>
              </w:rPr>
            </w:pPr>
            <w:r>
              <w:rPr>
                <w:rFonts w:ascii="Arial" w:cs="Arial" w:eastAsia="Arial" w:hAnsi="Arial"/>
                <w:sz w:val="14"/>
                <w:szCs w:val="14"/>
                <w:b w:val="1"/>
                <w:bCs w:val="1"/>
                <w:color w:val="auto"/>
              </w:rPr>
              <w:t>Label</w:t>
            </w:r>
          </w:p>
        </w:tc>
        <w:tc>
          <w:tcPr>
            <w:tcW w:w="300" w:type="dxa"/>
            <w:vAlign w:val="bottom"/>
          </w:tcPr>
          <w:p>
            <w:pPr>
              <w:spacing w:after="0"/>
              <w:rPr>
                <w:sz w:val="14"/>
                <w:szCs w:val="14"/>
                <w:color w:val="auto"/>
              </w:rPr>
            </w:pPr>
          </w:p>
        </w:tc>
        <w:tc>
          <w:tcPr>
            <w:tcW w:w="4280" w:type="dxa"/>
            <w:vAlign w:val="bottom"/>
            <w:gridSpan w:val="2"/>
          </w:tcPr>
          <w:p>
            <w:pPr>
              <w:ind w:left="1860"/>
              <w:spacing w:after="0"/>
              <w:rPr>
                <w:sz w:val="20"/>
                <w:szCs w:val="20"/>
                <w:color w:val="auto"/>
              </w:rPr>
            </w:pPr>
            <w:r>
              <w:rPr>
                <w:rFonts w:ascii="Arial" w:cs="Arial" w:eastAsia="Arial" w:hAnsi="Arial"/>
                <w:sz w:val="14"/>
                <w:szCs w:val="14"/>
                <w:b w:val="1"/>
                <w:bCs w:val="1"/>
                <w:color w:val="auto"/>
              </w:rPr>
              <w:t>Title</w:t>
            </w:r>
          </w:p>
        </w:tc>
        <w:tc>
          <w:tcPr>
            <w:tcW w:w="2900" w:type="dxa"/>
            <w:vAlign w:val="bottom"/>
            <w:gridSpan w:val="2"/>
          </w:tcPr>
          <w:p>
            <w:pPr>
              <w:ind w:left="1000"/>
              <w:spacing w:after="0"/>
              <w:rPr>
                <w:sz w:val="20"/>
                <w:szCs w:val="20"/>
                <w:color w:val="auto"/>
              </w:rPr>
            </w:pPr>
            <w:r>
              <w:rPr>
                <w:rFonts w:ascii="Arial" w:cs="Arial" w:eastAsia="Arial" w:hAnsi="Arial"/>
                <w:sz w:val="14"/>
                <w:szCs w:val="14"/>
                <w:b w:val="1"/>
                <w:bCs w:val="1"/>
                <w:color w:val="auto"/>
              </w:rPr>
              <w:t>Platforms</w:t>
            </w:r>
          </w:p>
        </w:tc>
        <w:tc>
          <w:tcPr>
            <w:tcW w:w="2280" w:type="dxa"/>
            <w:vAlign w:val="bottom"/>
          </w:tcPr>
          <w:p>
            <w:pPr>
              <w:ind w:left="740"/>
              <w:spacing w:after="0"/>
              <w:rPr>
                <w:sz w:val="20"/>
                <w:szCs w:val="20"/>
                <w:color w:val="auto"/>
              </w:rPr>
            </w:pPr>
            <w:r>
              <w:rPr>
                <w:rFonts w:ascii="Arial" w:cs="Arial" w:eastAsia="Arial" w:hAnsi="Arial"/>
                <w:sz w:val="14"/>
                <w:szCs w:val="14"/>
                <w:b w:val="1"/>
                <w:bCs w:val="1"/>
                <w:color w:val="auto"/>
              </w:rPr>
              <w:t>Release Date</w:t>
            </w:r>
          </w:p>
        </w:tc>
      </w:tr>
      <w:tr>
        <w:trPr>
          <w:trHeight w:val="210"/>
        </w:trPr>
        <w:tc>
          <w:tcPr>
            <w:tcW w:w="16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2K</w:t>
            </w:r>
          </w:p>
        </w:tc>
        <w:tc>
          <w:tcPr>
            <w:tcW w:w="300" w:type="dxa"/>
            <w:vAlign w:val="bottom"/>
            <w:tcBorders>
              <w:top w:val="single" w:sz="8" w:color="CCEEFF"/>
            </w:tcBorders>
            <w:shd w:val="clear" w:color="auto" w:fill="CCEEFF"/>
          </w:tcPr>
          <w:p>
            <w:pPr>
              <w:spacing w:after="0"/>
              <w:rPr>
                <w:sz w:val="18"/>
                <w:szCs w:val="18"/>
                <w:color w:val="auto"/>
              </w:rPr>
            </w:pPr>
          </w:p>
        </w:tc>
        <w:tc>
          <w:tcPr>
            <w:tcW w:w="40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i w:val="1"/>
                <w:iCs w:val="1"/>
                <w:color w:val="auto"/>
              </w:rPr>
              <w:t xml:space="preserve">WWE 2K19 Deluxe </w:t>
            </w:r>
            <w:r>
              <w:rPr>
                <w:rFonts w:ascii="Arial" w:cs="Arial" w:eastAsia="Arial" w:hAnsi="Arial"/>
                <w:sz w:val="18"/>
                <w:szCs w:val="18"/>
                <w:color w:val="auto"/>
              </w:rPr>
              <w:t>and</w:t>
            </w:r>
            <w:r>
              <w:rPr>
                <w:rFonts w:ascii="Arial" w:cs="Arial" w:eastAsia="Arial" w:hAnsi="Arial"/>
                <w:sz w:val="18"/>
                <w:szCs w:val="18"/>
                <w:i w:val="1"/>
                <w:iCs w:val="1"/>
                <w:color w:val="auto"/>
              </w:rPr>
              <w:t xml:space="preserve"> Wooooo! Editions</w:t>
            </w:r>
          </w:p>
        </w:tc>
        <w:tc>
          <w:tcPr>
            <w:tcW w:w="280" w:type="dxa"/>
            <w:vAlign w:val="bottom"/>
            <w:tcBorders>
              <w:top w:val="single" w:sz="8" w:color="CCEEFF"/>
            </w:tcBorders>
            <w:shd w:val="clear" w:color="auto" w:fill="CCEEFF"/>
          </w:tcPr>
          <w:p>
            <w:pPr>
              <w:spacing w:after="0"/>
              <w:rPr>
                <w:sz w:val="18"/>
                <w:szCs w:val="18"/>
                <w:color w:val="auto"/>
              </w:rPr>
            </w:pPr>
          </w:p>
        </w:tc>
        <w:tc>
          <w:tcPr>
            <w:tcW w:w="2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PS4, Xbox One, PC</w:t>
            </w:r>
          </w:p>
        </w:tc>
        <w:tc>
          <w:tcPr>
            <w:tcW w:w="280" w:type="dxa"/>
            <w:vAlign w:val="bottom"/>
            <w:tcBorders>
              <w:top w:val="single" w:sz="8" w:color="CCEEFF"/>
            </w:tcBorders>
            <w:shd w:val="clear" w:color="auto" w:fill="CCEEFF"/>
          </w:tcPr>
          <w:p>
            <w:pPr>
              <w:spacing w:after="0"/>
              <w:rPr>
                <w:sz w:val="18"/>
                <w:szCs w:val="18"/>
                <w:color w:val="auto"/>
              </w:rPr>
            </w:pPr>
          </w:p>
        </w:tc>
        <w:tc>
          <w:tcPr>
            <w:tcW w:w="2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October 5, 2018</w:t>
            </w: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WWE 2K19 Standard Edition</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 PC</w:t>
            </w:r>
          </w:p>
        </w:tc>
        <w:tc>
          <w:tcPr>
            <w:tcW w:w="2280" w:type="dxa"/>
            <w:vAlign w:val="bottom"/>
          </w:tcPr>
          <w:p>
            <w:pPr>
              <w:spacing w:after="0"/>
              <w:rPr>
                <w:sz w:val="20"/>
                <w:szCs w:val="20"/>
                <w:color w:val="auto"/>
              </w:rPr>
            </w:pPr>
            <w:r>
              <w:rPr>
                <w:rFonts w:ascii="Arial" w:cs="Arial" w:eastAsia="Arial" w:hAnsi="Arial"/>
                <w:sz w:val="18"/>
                <w:szCs w:val="18"/>
                <w:color w:val="auto"/>
              </w:rPr>
              <w:t>October 9, 2018</w:t>
            </w:r>
          </w:p>
        </w:tc>
      </w:tr>
      <w:tr>
        <w:trPr>
          <w:trHeight w:val="202"/>
        </w:trPr>
        <w:tc>
          <w:tcPr>
            <w:tcW w:w="1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line="201" w:lineRule="exact"/>
              <w:rPr>
                <w:sz w:val="20"/>
                <w:szCs w:val="20"/>
                <w:color w:val="auto"/>
              </w:rPr>
            </w:pPr>
            <w:r>
              <w:rPr>
                <w:rFonts w:ascii="Arial" w:cs="Arial" w:eastAsia="Arial" w:hAnsi="Arial"/>
                <w:sz w:val="18"/>
                <w:szCs w:val="18"/>
                <w:i w:val="1"/>
                <w:iCs w:val="1"/>
                <w:color w:val="auto"/>
              </w:rPr>
              <w:t>XCOM 2: War of the Chosen - Tactical Legacy Pack</w:t>
            </w:r>
          </w:p>
        </w:tc>
        <w:tc>
          <w:tcPr>
            <w:tcW w:w="29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PC</w:t>
            </w:r>
          </w:p>
        </w:tc>
        <w:tc>
          <w:tcPr>
            <w:tcW w:w="2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October 9, 2018</w:t>
            </w:r>
          </w:p>
        </w:tc>
      </w:tr>
      <w:tr>
        <w:trPr>
          <w:trHeight w:val="230"/>
        </w:trPr>
        <w:tc>
          <w:tcPr>
            <w:tcW w:w="1660" w:type="dxa"/>
            <w:vAlign w:val="bottom"/>
            <w:shd w:val="clear" w:color="auto" w:fill="CCEEFF"/>
          </w:tcPr>
          <w:p>
            <w:pPr>
              <w:spacing w:after="0"/>
              <w:rPr>
                <w:sz w:val="20"/>
                <w:szCs w:val="20"/>
                <w:color w:val="auto"/>
              </w:rPr>
            </w:pP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(DLC)</w:t>
            </w:r>
          </w:p>
        </w:tc>
        <w:tc>
          <w:tcPr>
            <w:tcW w:w="26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80" w:type="dxa"/>
            <w:vAlign w:val="bottom"/>
            <w:shd w:val="clear" w:color="auto" w:fill="CCEEFF"/>
          </w:tcPr>
          <w:p>
            <w:pPr>
              <w:spacing w:after="0"/>
              <w:rPr>
                <w:sz w:val="20"/>
                <w:szCs w:val="20"/>
                <w:color w:val="auto"/>
              </w:rPr>
            </w:pP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NBA 2K Playgrounds 2</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 Switch, PC</w:t>
            </w:r>
          </w:p>
        </w:tc>
        <w:tc>
          <w:tcPr>
            <w:tcW w:w="2280" w:type="dxa"/>
            <w:vAlign w:val="bottom"/>
          </w:tcPr>
          <w:p>
            <w:pPr>
              <w:spacing w:after="0"/>
              <w:rPr>
                <w:sz w:val="20"/>
                <w:szCs w:val="20"/>
                <w:color w:val="auto"/>
              </w:rPr>
            </w:pPr>
            <w:r>
              <w:rPr>
                <w:rFonts w:ascii="Arial" w:cs="Arial" w:eastAsia="Arial" w:hAnsi="Arial"/>
                <w:sz w:val="18"/>
                <w:szCs w:val="18"/>
                <w:color w:val="auto"/>
              </w:rPr>
              <w:t>October 16, 2018</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Rockstar Games</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Red Dead Redemption 2</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PS4, Xbox One</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October 26, 2018</w:t>
            </w: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Carnival Games</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 Switch</w:t>
            </w:r>
          </w:p>
        </w:tc>
        <w:tc>
          <w:tcPr>
            <w:tcW w:w="2280" w:type="dxa"/>
            <w:vAlign w:val="bottom"/>
          </w:tcPr>
          <w:p>
            <w:pPr>
              <w:spacing w:after="0"/>
              <w:rPr>
                <w:sz w:val="20"/>
                <w:szCs w:val="20"/>
                <w:color w:val="auto"/>
              </w:rPr>
            </w:pPr>
            <w:r>
              <w:rPr>
                <w:rFonts w:ascii="Arial" w:cs="Arial" w:eastAsia="Arial" w:hAnsi="Arial"/>
                <w:sz w:val="18"/>
                <w:szCs w:val="18"/>
                <w:color w:val="auto"/>
              </w:rPr>
              <w:t>November 6, 2018</w:t>
            </w:r>
          </w:p>
        </w:tc>
      </w:tr>
      <w:tr>
        <w:trPr>
          <w:trHeight w:val="202"/>
        </w:trPr>
        <w:tc>
          <w:tcPr>
            <w:tcW w:w="1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line="201" w:lineRule="exact"/>
              <w:rPr>
                <w:sz w:val="20"/>
                <w:szCs w:val="20"/>
                <w:color w:val="auto"/>
              </w:rPr>
            </w:pPr>
            <w:r>
              <w:rPr>
                <w:rFonts w:ascii="Arial" w:cs="Arial" w:eastAsia="Arial" w:hAnsi="Arial"/>
                <w:sz w:val="18"/>
                <w:szCs w:val="18"/>
                <w:i w:val="1"/>
                <w:iCs w:val="1"/>
                <w:color w:val="auto"/>
              </w:rPr>
              <w:t xml:space="preserve">The Golf Club 2019 Featuring PGA TOUR </w:t>
            </w:r>
            <w:r>
              <w:rPr>
                <w:rFonts w:ascii="Arial" w:cs="Arial" w:eastAsia="Arial" w:hAnsi="Arial"/>
                <w:sz w:val="18"/>
                <w:szCs w:val="18"/>
                <w:color w:val="auto"/>
              </w:rPr>
              <w:t>(Physical</w:t>
            </w:r>
          </w:p>
        </w:tc>
        <w:tc>
          <w:tcPr>
            <w:tcW w:w="29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PS4, Xbox One, PC</w:t>
            </w:r>
          </w:p>
        </w:tc>
        <w:tc>
          <w:tcPr>
            <w:tcW w:w="2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November 13, 2018 *</w:t>
            </w:r>
          </w:p>
        </w:tc>
      </w:tr>
      <w:tr>
        <w:trPr>
          <w:trHeight w:val="230"/>
        </w:trPr>
        <w:tc>
          <w:tcPr>
            <w:tcW w:w="1660" w:type="dxa"/>
            <w:vAlign w:val="bottom"/>
            <w:shd w:val="clear" w:color="auto" w:fill="CCEEFF"/>
          </w:tcPr>
          <w:p>
            <w:pPr>
              <w:spacing w:after="0"/>
              <w:rPr>
                <w:sz w:val="20"/>
                <w:szCs w:val="20"/>
                <w:color w:val="auto"/>
              </w:rPr>
            </w:pP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SKU)</w:t>
            </w:r>
          </w:p>
        </w:tc>
        <w:tc>
          <w:tcPr>
            <w:tcW w:w="26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80" w:type="dxa"/>
            <w:vAlign w:val="bottom"/>
            <w:shd w:val="clear" w:color="auto" w:fill="CCEEFF"/>
          </w:tcPr>
          <w:p>
            <w:pPr>
              <w:spacing w:after="0"/>
              <w:rPr>
                <w:sz w:val="20"/>
                <w:szCs w:val="20"/>
                <w:color w:val="auto"/>
              </w:rPr>
            </w:pP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WWE SuperCard Season 5</w:t>
            </w:r>
          </w:p>
        </w:tc>
        <w:tc>
          <w:tcPr>
            <w:tcW w:w="2900" w:type="dxa"/>
            <w:vAlign w:val="bottom"/>
            <w:gridSpan w:val="2"/>
          </w:tcPr>
          <w:p>
            <w:pPr>
              <w:spacing w:after="0"/>
              <w:rPr>
                <w:sz w:val="20"/>
                <w:szCs w:val="20"/>
                <w:color w:val="auto"/>
              </w:rPr>
            </w:pPr>
            <w:r>
              <w:rPr>
                <w:rFonts w:ascii="Arial" w:cs="Arial" w:eastAsia="Arial" w:hAnsi="Arial"/>
                <w:sz w:val="18"/>
                <w:szCs w:val="18"/>
                <w:color w:val="auto"/>
              </w:rPr>
              <w:t>iOS, Android</w:t>
            </w:r>
          </w:p>
        </w:tc>
        <w:tc>
          <w:tcPr>
            <w:tcW w:w="2280" w:type="dxa"/>
            <w:vAlign w:val="bottom"/>
          </w:tcPr>
          <w:p>
            <w:pPr>
              <w:spacing w:after="0"/>
              <w:rPr>
                <w:sz w:val="20"/>
                <w:szCs w:val="20"/>
                <w:color w:val="auto"/>
              </w:rPr>
            </w:pPr>
            <w:r>
              <w:rPr>
                <w:rFonts w:ascii="Arial" w:cs="Arial" w:eastAsia="Arial" w:hAnsi="Arial"/>
                <w:sz w:val="18"/>
                <w:szCs w:val="18"/>
                <w:color w:val="auto"/>
              </w:rPr>
              <w:t>November 13, 2018</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Sid Meier’s Civilization VI</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Switch</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November 16, 2018</w:t>
            </w: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NBA 2K Mobile</w:t>
            </w:r>
          </w:p>
        </w:tc>
        <w:tc>
          <w:tcPr>
            <w:tcW w:w="2900" w:type="dxa"/>
            <w:vAlign w:val="bottom"/>
            <w:gridSpan w:val="2"/>
          </w:tcPr>
          <w:p>
            <w:pPr>
              <w:spacing w:after="0"/>
              <w:rPr>
                <w:sz w:val="20"/>
                <w:szCs w:val="20"/>
                <w:color w:val="auto"/>
              </w:rPr>
            </w:pPr>
            <w:r>
              <w:rPr>
                <w:rFonts w:ascii="Arial" w:cs="Arial" w:eastAsia="Arial" w:hAnsi="Arial"/>
                <w:sz w:val="18"/>
                <w:szCs w:val="18"/>
                <w:color w:val="auto"/>
              </w:rPr>
              <w:t>iOS</w:t>
            </w:r>
          </w:p>
        </w:tc>
        <w:tc>
          <w:tcPr>
            <w:tcW w:w="2280" w:type="dxa"/>
            <w:vAlign w:val="bottom"/>
          </w:tcPr>
          <w:p>
            <w:pPr>
              <w:spacing w:after="0"/>
              <w:rPr>
                <w:sz w:val="20"/>
                <w:szCs w:val="20"/>
                <w:color w:val="auto"/>
              </w:rPr>
            </w:pPr>
            <w:r>
              <w:rPr>
                <w:rFonts w:ascii="Arial" w:cs="Arial" w:eastAsia="Arial" w:hAnsi="Arial"/>
                <w:sz w:val="18"/>
                <w:szCs w:val="18"/>
                <w:color w:val="auto"/>
              </w:rPr>
              <w:t>November 19, 2018</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 xml:space="preserve">WWE 2K19: Titans Pack </w:t>
            </w:r>
            <w:r>
              <w:rPr>
                <w:rFonts w:ascii="Arial" w:cs="Arial" w:eastAsia="Arial" w:hAnsi="Arial"/>
                <w:sz w:val="18"/>
                <w:szCs w:val="18"/>
                <w:color w:val="auto"/>
              </w:rPr>
              <w:t>(DLC)</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PS4, Xbox One, PC</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November 20, 2018</w:t>
            </w: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Rockstar Games</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Red Dead Online Beta</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w:t>
            </w:r>
          </w:p>
        </w:tc>
        <w:tc>
          <w:tcPr>
            <w:tcW w:w="2280" w:type="dxa"/>
            <w:vAlign w:val="bottom"/>
          </w:tcPr>
          <w:p>
            <w:pPr>
              <w:spacing w:after="0"/>
              <w:rPr>
                <w:sz w:val="20"/>
                <w:szCs w:val="20"/>
                <w:color w:val="auto"/>
              </w:rPr>
            </w:pPr>
            <w:r>
              <w:rPr>
                <w:rFonts w:ascii="Arial" w:cs="Arial" w:eastAsia="Arial" w:hAnsi="Arial"/>
                <w:sz w:val="18"/>
                <w:szCs w:val="18"/>
                <w:color w:val="auto"/>
              </w:rPr>
              <w:t>November 27, 2018</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Borderlands 2 VR</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PS VR</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December 14, 2018</w:t>
            </w: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 xml:space="preserve">WWE 2K19: New Moves Pack </w:t>
            </w:r>
            <w:r>
              <w:rPr>
                <w:rFonts w:ascii="Arial" w:cs="Arial" w:eastAsia="Arial" w:hAnsi="Arial"/>
                <w:sz w:val="18"/>
                <w:szCs w:val="18"/>
                <w:color w:val="auto"/>
              </w:rPr>
              <w:t>(DLC)</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 PC</w:t>
            </w:r>
          </w:p>
        </w:tc>
        <w:tc>
          <w:tcPr>
            <w:tcW w:w="2280" w:type="dxa"/>
            <w:vAlign w:val="bottom"/>
          </w:tcPr>
          <w:p>
            <w:pPr>
              <w:spacing w:after="0"/>
              <w:rPr>
                <w:sz w:val="20"/>
                <w:szCs w:val="20"/>
                <w:color w:val="auto"/>
              </w:rPr>
            </w:pPr>
            <w:r>
              <w:rPr>
                <w:rFonts w:ascii="Arial" w:cs="Arial" w:eastAsia="Arial" w:hAnsi="Arial"/>
                <w:sz w:val="18"/>
                <w:szCs w:val="18"/>
                <w:color w:val="auto"/>
              </w:rPr>
              <w:t>December 18, 2018</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 xml:space="preserve">WWE 2K19: Rising Stars Pack </w:t>
            </w:r>
            <w:r>
              <w:rPr>
                <w:rFonts w:ascii="Arial" w:cs="Arial" w:eastAsia="Arial" w:hAnsi="Arial"/>
                <w:sz w:val="18"/>
                <w:szCs w:val="18"/>
                <w:color w:val="auto"/>
              </w:rPr>
              <w:t>(DLC)</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PS4, Xbox One, PC</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January 22, 2019</w:t>
            </w:r>
          </w:p>
        </w:tc>
      </w:tr>
      <w:tr>
        <w:trPr>
          <w:trHeight w:val="230"/>
        </w:trPr>
        <w:tc>
          <w:tcPr>
            <w:tcW w:w="1660" w:type="dxa"/>
            <w:vAlign w:val="bottom"/>
          </w:tcPr>
          <w:p>
            <w:pPr>
              <w:spacing w:after="0"/>
              <w:rPr>
                <w:sz w:val="20"/>
                <w:szCs w:val="20"/>
                <w:color w:val="auto"/>
              </w:rPr>
            </w:pPr>
            <w:r>
              <w:rPr>
                <w:rFonts w:ascii="Arial" w:cs="Arial" w:eastAsia="Arial" w:hAnsi="Arial"/>
                <w:sz w:val="18"/>
                <w:szCs w:val="18"/>
                <w:color w:val="auto"/>
              </w:rPr>
              <w:t>Social Point</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Tasty Town</w:t>
            </w:r>
          </w:p>
        </w:tc>
        <w:tc>
          <w:tcPr>
            <w:tcW w:w="2900" w:type="dxa"/>
            <w:vAlign w:val="bottom"/>
            <w:gridSpan w:val="2"/>
          </w:tcPr>
          <w:p>
            <w:pPr>
              <w:spacing w:after="0"/>
              <w:rPr>
                <w:sz w:val="20"/>
                <w:szCs w:val="20"/>
                <w:color w:val="auto"/>
              </w:rPr>
            </w:pPr>
            <w:r>
              <w:rPr>
                <w:rFonts w:ascii="Arial" w:cs="Arial" w:eastAsia="Arial" w:hAnsi="Arial"/>
                <w:sz w:val="18"/>
                <w:szCs w:val="18"/>
                <w:color w:val="auto"/>
              </w:rPr>
              <w:t>iOS, Android</w:t>
            </w:r>
          </w:p>
        </w:tc>
        <w:tc>
          <w:tcPr>
            <w:tcW w:w="2280" w:type="dxa"/>
            <w:vAlign w:val="bottom"/>
          </w:tcPr>
          <w:p>
            <w:pPr>
              <w:spacing w:after="0"/>
              <w:rPr>
                <w:sz w:val="20"/>
                <w:szCs w:val="20"/>
                <w:color w:val="auto"/>
              </w:rPr>
            </w:pPr>
            <w:r>
              <w:rPr>
                <w:rFonts w:ascii="Arial" w:cs="Arial" w:eastAsia="Arial" w:hAnsi="Arial"/>
                <w:sz w:val="18"/>
                <w:szCs w:val="18"/>
                <w:color w:val="auto"/>
              </w:rPr>
              <w:t>January 31, 2019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North American release date. International release date is 3 days later.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Take-Two’s lineup of future titles announced to date includes: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660" w:type="dxa"/>
            <w:vAlign w:val="bottom"/>
          </w:tcPr>
          <w:p>
            <w:pPr>
              <w:spacing w:after="0"/>
              <w:rPr>
                <w:sz w:val="20"/>
                <w:szCs w:val="20"/>
                <w:color w:val="auto"/>
              </w:rPr>
            </w:pPr>
            <w:r>
              <w:rPr>
                <w:rFonts w:ascii="Arial" w:cs="Arial" w:eastAsia="Arial" w:hAnsi="Arial"/>
                <w:sz w:val="14"/>
                <w:szCs w:val="14"/>
                <w:b w:val="1"/>
                <w:bCs w:val="1"/>
                <w:color w:val="auto"/>
              </w:rPr>
              <w:t>Label</w:t>
            </w:r>
          </w:p>
        </w:tc>
        <w:tc>
          <w:tcPr>
            <w:tcW w:w="300" w:type="dxa"/>
            <w:vAlign w:val="bottom"/>
          </w:tcPr>
          <w:p>
            <w:pPr>
              <w:spacing w:after="0"/>
              <w:rPr>
                <w:sz w:val="14"/>
                <w:szCs w:val="14"/>
                <w:color w:val="auto"/>
              </w:rPr>
            </w:pPr>
          </w:p>
        </w:tc>
        <w:tc>
          <w:tcPr>
            <w:tcW w:w="4280" w:type="dxa"/>
            <w:vAlign w:val="bottom"/>
            <w:gridSpan w:val="2"/>
          </w:tcPr>
          <w:p>
            <w:pPr>
              <w:ind w:left="1860"/>
              <w:spacing w:after="0"/>
              <w:rPr>
                <w:sz w:val="20"/>
                <w:szCs w:val="20"/>
                <w:color w:val="auto"/>
              </w:rPr>
            </w:pPr>
            <w:r>
              <w:rPr>
                <w:rFonts w:ascii="Arial" w:cs="Arial" w:eastAsia="Arial" w:hAnsi="Arial"/>
                <w:sz w:val="14"/>
                <w:szCs w:val="14"/>
                <w:b w:val="1"/>
                <w:bCs w:val="1"/>
                <w:color w:val="auto"/>
              </w:rPr>
              <w:t>Title</w:t>
            </w:r>
          </w:p>
        </w:tc>
        <w:tc>
          <w:tcPr>
            <w:tcW w:w="2900" w:type="dxa"/>
            <w:vAlign w:val="bottom"/>
            <w:gridSpan w:val="2"/>
          </w:tcPr>
          <w:p>
            <w:pPr>
              <w:ind w:left="1000"/>
              <w:spacing w:after="0"/>
              <w:rPr>
                <w:sz w:val="20"/>
                <w:szCs w:val="20"/>
                <w:color w:val="auto"/>
              </w:rPr>
            </w:pPr>
            <w:r>
              <w:rPr>
                <w:rFonts w:ascii="Arial" w:cs="Arial" w:eastAsia="Arial" w:hAnsi="Arial"/>
                <w:sz w:val="14"/>
                <w:szCs w:val="14"/>
                <w:b w:val="1"/>
                <w:bCs w:val="1"/>
                <w:color w:val="auto"/>
              </w:rPr>
              <w:t>Platforms</w:t>
            </w:r>
          </w:p>
        </w:tc>
        <w:tc>
          <w:tcPr>
            <w:tcW w:w="2280" w:type="dxa"/>
            <w:vAlign w:val="bottom"/>
          </w:tcPr>
          <w:p>
            <w:pPr>
              <w:ind w:left="740"/>
              <w:spacing w:after="0"/>
              <w:rPr>
                <w:sz w:val="20"/>
                <w:szCs w:val="20"/>
                <w:color w:val="auto"/>
              </w:rPr>
            </w:pPr>
            <w:r>
              <w:rPr>
                <w:rFonts w:ascii="Arial" w:cs="Arial" w:eastAsia="Arial" w:hAnsi="Arial"/>
                <w:sz w:val="14"/>
                <w:szCs w:val="14"/>
                <w:b w:val="1"/>
                <w:bCs w:val="1"/>
                <w:color w:val="auto"/>
              </w:rPr>
              <w:t>Release Date</w:t>
            </w:r>
          </w:p>
        </w:tc>
      </w:tr>
      <w:tr>
        <w:trPr>
          <w:trHeight w:val="195"/>
        </w:trPr>
        <w:tc>
          <w:tcPr>
            <w:tcW w:w="16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2K</w:t>
            </w:r>
          </w:p>
        </w:tc>
        <w:tc>
          <w:tcPr>
            <w:tcW w:w="300" w:type="dxa"/>
            <w:vAlign w:val="bottom"/>
            <w:tcBorders>
              <w:top w:val="single" w:sz="8" w:color="CCEEFF"/>
            </w:tcBorders>
            <w:shd w:val="clear" w:color="auto" w:fill="CCEEFF"/>
          </w:tcPr>
          <w:p>
            <w:pPr>
              <w:spacing w:after="0"/>
              <w:rPr>
                <w:sz w:val="16"/>
                <w:szCs w:val="16"/>
                <w:color w:val="auto"/>
              </w:rPr>
            </w:pPr>
          </w:p>
        </w:tc>
        <w:tc>
          <w:tcPr>
            <w:tcW w:w="400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i w:val="1"/>
                <w:iCs w:val="1"/>
                <w:color w:val="auto"/>
              </w:rPr>
              <w:t>Sid Meier’s Civilization VI: Gathering Storm</w:t>
            </w:r>
          </w:p>
        </w:tc>
        <w:tc>
          <w:tcPr>
            <w:tcW w:w="280" w:type="dxa"/>
            <w:vAlign w:val="bottom"/>
            <w:tcBorders>
              <w:top w:val="single" w:sz="8" w:color="CCEEFF"/>
            </w:tcBorders>
            <w:shd w:val="clear" w:color="auto" w:fill="CCEEFF"/>
          </w:tcPr>
          <w:p>
            <w:pPr>
              <w:spacing w:after="0"/>
              <w:rPr>
                <w:sz w:val="16"/>
                <w:szCs w:val="16"/>
                <w:color w:val="auto"/>
              </w:rPr>
            </w:pPr>
          </w:p>
        </w:tc>
        <w:tc>
          <w:tcPr>
            <w:tcW w:w="262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PC</w:t>
            </w:r>
          </w:p>
        </w:tc>
        <w:tc>
          <w:tcPr>
            <w:tcW w:w="280" w:type="dxa"/>
            <w:vAlign w:val="bottom"/>
            <w:tcBorders>
              <w:top w:val="single" w:sz="8" w:color="CCEEFF"/>
            </w:tcBorders>
            <w:shd w:val="clear" w:color="auto" w:fill="CCEEFF"/>
          </w:tcPr>
          <w:p>
            <w:pPr>
              <w:spacing w:after="0"/>
              <w:rPr>
                <w:sz w:val="16"/>
                <w:szCs w:val="16"/>
                <w:color w:val="auto"/>
              </w:rPr>
            </w:pPr>
          </w:p>
        </w:tc>
        <w:tc>
          <w:tcPr>
            <w:tcW w:w="228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February 14, 2019</w:t>
            </w:r>
          </w:p>
        </w:tc>
      </w:tr>
      <w:tr>
        <w:trPr>
          <w:trHeight w:val="230"/>
        </w:trPr>
        <w:tc>
          <w:tcPr>
            <w:tcW w:w="1660" w:type="dxa"/>
            <w:vAlign w:val="bottom"/>
            <w:shd w:val="clear" w:color="auto" w:fill="CCEEFF"/>
          </w:tcPr>
          <w:p>
            <w:pPr>
              <w:spacing w:after="0"/>
              <w:rPr>
                <w:sz w:val="20"/>
                <w:szCs w:val="20"/>
                <w:color w:val="auto"/>
              </w:rPr>
            </w:pP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(Expansion Pack)</w:t>
            </w:r>
          </w:p>
        </w:tc>
        <w:tc>
          <w:tcPr>
            <w:tcW w:w="26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80" w:type="dxa"/>
            <w:vAlign w:val="bottom"/>
            <w:shd w:val="clear" w:color="auto" w:fill="CCEEFF"/>
          </w:tcPr>
          <w:p>
            <w:pPr>
              <w:spacing w:after="0"/>
              <w:rPr>
                <w:sz w:val="20"/>
                <w:szCs w:val="20"/>
                <w:color w:val="auto"/>
              </w:rPr>
            </w:pPr>
          </w:p>
        </w:tc>
      </w:tr>
      <w:tr>
        <w:trPr>
          <w:trHeight w:val="216"/>
        </w:trPr>
        <w:tc>
          <w:tcPr>
            <w:tcW w:w="1660" w:type="dxa"/>
            <w:vAlign w:val="bottom"/>
          </w:tcPr>
          <w:p>
            <w:pPr>
              <w:spacing w:after="0"/>
              <w:rPr>
                <w:sz w:val="20"/>
                <w:szCs w:val="20"/>
                <w:color w:val="auto"/>
              </w:rPr>
            </w:pPr>
            <w:r>
              <w:rPr>
                <w:rFonts w:ascii="Arial" w:cs="Arial" w:eastAsia="Arial" w:hAnsi="Arial"/>
                <w:sz w:val="18"/>
                <w:szCs w:val="18"/>
                <w:color w:val="auto"/>
              </w:rPr>
              <w:t>2K</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NBA 2K Mobile</w:t>
            </w:r>
          </w:p>
        </w:tc>
        <w:tc>
          <w:tcPr>
            <w:tcW w:w="2900" w:type="dxa"/>
            <w:vAlign w:val="bottom"/>
            <w:gridSpan w:val="2"/>
          </w:tcPr>
          <w:p>
            <w:pPr>
              <w:spacing w:after="0"/>
              <w:rPr>
                <w:sz w:val="20"/>
                <w:szCs w:val="20"/>
                <w:color w:val="auto"/>
              </w:rPr>
            </w:pPr>
            <w:r>
              <w:rPr>
                <w:rFonts w:ascii="Arial" w:cs="Arial" w:eastAsia="Arial" w:hAnsi="Arial"/>
                <w:sz w:val="18"/>
                <w:szCs w:val="18"/>
                <w:color w:val="auto"/>
              </w:rPr>
              <w:t>Android</w:t>
            </w:r>
          </w:p>
        </w:tc>
        <w:tc>
          <w:tcPr>
            <w:tcW w:w="2280" w:type="dxa"/>
            <w:vAlign w:val="bottom"/>
          </w:tcPr>
          <w:p>
            <w:pPr>
              <w:spacing w:after="0"/>
              <w:rPr>
                <w:sz w:val="20"/>
                <w:szCs w:val="20"/>
                <w:color w:val="auto"/>
              </w:rPr>
            </w:pPr>
            <w:r>
              <w:rPr>
                <w:rFonts w:ascii="Arial" w:cs="Arial" w:eastAsia="Arial" w:hAnsi="Arial"/>
                <w:sz w:val="18"/>
                <w:szCs w:val="18"/>
                <w:color w:val="auto"/>
              </w:rPr>
              <w:t>Spring 2019</w:t>
            </w:r>
          </w:p>
        </w:tc>
      </w:tr>
      <w:tr>
        <w:trPr>
          <w:trHeight w:val="216"/>
        </w:trPr>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rPr>
              <w:t>Private Division</w:t>
            </w:r>
          </w:p>
        </w:tc>
        <w:tc>
          <w:tcPr>
            <w:tcW w:w="4580" w:type="dxa"/>
            <w:vAlign w:val="bottom"/>
            <w:gridSpan w:val="3"/>
            <w:shd w:val="clear" w:color="auto" w:fill="CCEEFF"/>
          </w:tcPr>
          <w:p>
            <w:pPr>
              <w:ind w:left="300"/>
              <w:spacing w:after="0"/>
              <w:rPr>
                <w:sz w:val="20"/>
                <w:szCs w:val="20"/>
                <w:color w:val="auto"/>
              </w:rPr>
            </w:pPr>
            <w:r>
              <w:rPr>
                <w:rFonts w:ascii="Arial" w:cs="Arial" w:eastAsia="Arial" w:hAnsi="Arial"/>
                <w:sz w:val="18"/>
                <w:szCs w:val="18"/>
                <w:i w:val="1"/>
                <w:iCs w:val="1"/>
                <w:color w:val="auto"/>
              </w:rPr>
              <w:t>Ancestors: The Humankind Odyssey</w:t>
            </w:r>
          </w:p>
        </w:tc>
        <w:tc>
          <w:tcPr>
            <w:tcW w:w="2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PS4, Xbox One, PC (digital only)</w:t>
            </w:r>
          </w:p>
        </w:tc>
        <w:tc>
          <w:tcPr>
            <w:tcW w:w="2280" w:type="dxa"/>
            <w:vAlign w:val="bottom"/>
            <w:shd w:val="clear" w:color="auto" w:fill="CCEEFF"/>
          </w:tcPr>
          <w:p>
            <w:pPr>
              <w:spacing w:after="0"/>
              <w:rPr>
                <w:sz w:val="20"/>
                <w:szCs w:val="20"/>
                <w:color w:val="auto"/>
              </w:rPr>
            </w:pPr>
            <w:r>
              <w:rPr>
                <w:rFonts w:ascii="Arial" w:cs="Arial" w:eastAsia="Arial" w:hAnsi="Arial"/>
                <w:sz w:val="18"/>
                <w:szCs w:val="18"/>
                <w:color w:val="auto"/>
              </w:rPr>
              <w:t>2019 (fiscal 2020)</w:t>
            </w:r>
          </w:p>
        </w:tc>
      </w:tr>
      <w:tr>
        <w:trPr>
          <w:trHeight w:val="230"/>
        </w:trPr>
        <w:tc>
          <w:tcPr>
            <w:tcW w:w="1660" w:type="dxa"/>
            <w:vAlign w:val="bottom"/>
          </w:tcPr>
          <w:p>
            <w:pPr>
              <w:spacing w:after="0"/>
              <w:rPr>
                <w:sz w:val="20"/>
                <w:szCs w:val="20"/>
                <w:color w:val="auto"/>
              </w:rPr>
            </w:pPr>
            <w:r>
              <w:rPr>
                <w:rFonts w:ascii="Arial" w:cs="Arial" w:eastAsia="Arial" w:hAnsi="Arial"/>
                <w:sz w:val="18"/>
                <w:szCs w:val="18"/>
                <w:color w:val="auto"/>
              </w:rPr>
              <w:t>Private Division</w:t>
            </w:r>
          </w:p>
        </w:tc>
        <w:tc>
          <w:tcPr>
            <w:tcW w:w="4580" w:type="dxa"/>
            <w:vAlign w:val="bottom"/>
            <w:gridSpan w:val="3"/>
          </w:tcPr>
          <w:p>
            <w:pPr>
              <w:ind w:left="300"/>
              <w:spacing w:after="0"/>
              <w:rPr>
                <w:sz w:val="20"/>
                <w:szCs w:val="20"/>
                <w:color w:val="auto"/>
              </w:rPr>
            </w:pPr>
            <w:r>
              <w:rPr>
                <w:rFonts w:ascii="Arial" w:cs="Arial" w:eastAsia="Arial" w:hAnsi="Arial"/>
                <w:sz w:val="18"/>
                <w:szCs w:val="18"/>
                <w:i w:val="1"/>
                <w:iCs w:val="1"/>
                <w:color w:val="auto"/>
              </w:rPr>
              <w:t>The Outer Worlds</w:t>
            </w:r>
          </w:p>
        </w:tc>
        <w:tc>
          <w:tcPr>
            <w:tcW w:w="2900" w:type="dxa"/>
            <w:vAlign w:val="bottom"/>
            <w:gridSpan w:val="2"/>
          </w:tcPr>
          <w:p>
            <w:pPr>
              <w:spacing w:after="0"/>
              <w:rPr>
                <w:sz w:val="20"/>
                <w:szCs w:val="20"/>
                <w:color w:val="auto"/>
              </w:rPr>
            </w:pPr>
            <w:r>
              <w:rPr>
                <w:rFonts w:ascii="Arial" w:cs="Arial" w:eastAsia="Arial" w:hAnsi="Arial"/>
                <w:sz w:val="18"/>
                <w:szCs w:val="18"/>
                <w:color w:val="auto"/>
              </w:rPr>
              <w:t>PS4, Xbox One, PC</w:t>
            </w:r>
          </w:p>
        </w:tc>
        <w:tc>
          <w:tcPr>
            <w:tcW w:w="2280" w:type="dxa"/>
            <w:vAlign w:val="bottom"/>
          </w:tcPr>
          <w:p>
            <w:pPr>
              <w:spacing w:after="0"/>
              <w:rPr>
                <w:sz w:val="20"/>
                <w:szCs w:val="20"/>
                <w:color w:val="auto"/>
              </w:rPr>
            </w:pPr>
            <w:r>
              <w:rPr>
                <w:rFonts w:ascii="Arial" w:cs="Arial" w:eastAsia="Arial" w:hAnsi="Arial"/>
                <w:sz w:val="18"/>
                <w:szCs w:val="18"/>
                <w:color w:val="auto"/>
              </w:rPr>
              <w:t>2019 (fiscal 2020)</w:t>
            </w: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Conference Call</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Take-Two will host a conference call today at 8:00 a.m. Eastern Time to review these results and discuss other topics. The call can be accessed by dialing</w:t>
      </w:r>
    </w:p>
    <w:p>
      <w:pPr>
        <w:spacing w:after="0" w:line="46" w:lineRule="exact"/>
        <w:rPr>
          <w:sz w:val="20"/>
          <w:szCs w:val="20"/>
          <w:color w:val="auto"/>
        </w:rPr>
      </w:pPr>
    </w:p>
    <w:p>
      <w:pPr>
        <w:ind w:right="100" w:firstLine="8"/>
        <w:spacing w:after="0" w:line="261" w:lineRule="auto"/>
        <w:tabs>
          <w:tab w:leader="none" w:pos="435" w:val="left"/>
        </w:tabs>
        <w:numPr>
          <w:ilvl w:val="0"/>
          <w:numId w:val="13"/>
        </w:numPr>
        <w:rPr>
          <w:rFonts w:ascii="Arial" w:cs="Arial" w:eastAsia="Arial" w:hAnsi="Arial"/>
          <w:sz w:val="18"/>
          <w:szCs w:val="18"/>
          <w:color w:val="auto"/>
        </w:rPr>
      </w:pPr>
      <w:r>
        <w:rPr>
          <w:rFonts w:ascii="Arial" w:cs="Arial" w:eastAsia="Arial" w:hAnsi="Arial"/>
          <w:sz w:val="18"/>
          <w:szCs w:val="18"/>
          <w:color w:val="auto"/>
        </w:rPr>
        <w:t>407-0984 or (201) 689-8577. A live listen-only webcast of the call will be available by visiting http://ir.take2games.com and a replay will be available following the call at the same location.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Non-GAAP Financial Measure</w:t>
      </w:r>
    </w:p>
    <w:p>
      <w:pPr>
        <w:spacing w:after="0" w:line="229"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 xml:space="preserve">In addition to reporting financial results in accordance with U.S. generally accepted accounting principles (GAAP), the Company uses a Non-GAAP measure of financial performance: </w:t>
      </w:r>
      <w:r>
        <w:rPr>
          <w:rFonts w:ascii="Arial" w:cs="Arial" w:eastAsia="Arial" w:hAnsi="Arial"/>
          <w:sz w:val="18"/>
          <w:szCs w:val="18"/>
          <w:b w:val="1"/>
          <w:bCs w:val="1"/>
          <w:i w:val="1"/>
          <w:iCs w:val="1"/>
          <w:color w:val="auto"/>
        </w:rPr>
        <w:t>Adjusted Operating Cash Flow</w:t>
      </w:r>
      <w:r>
        <w:rPr>
          <w:rFonts w:ascii="Arial" w:cs="Arial" w:eastAsia="Arial" w:hAnsi="Arial"/>
          <w:sz w:val="18"/>
          <w:szCs w:val="18"/>
          <w:color w:val="auto"/>
        </w:rPr>
        <w:t>, which is defined as GAAP net cash from operating activities, adjusted for changes in restricted cash. The Company’s management believes it is important to consider Adjusted Operating Cash Flow, in addition to net cash from operating activities, as it provides more transparency into current business trends without regard to the timing of payments from restricted cash, which is primarily related to a dedicated account limited to the payment of certain internal royalty obligations.</w:t>
      </w:r>
    </w:p>
    <w:p>
      <w:pPr>
        <w:spacing w:after="0" w:line="188"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 xml:space="preserve">This Non-GAAP financial measure is not intended to be considered in isolation from, as a substitute for, or superior to, GAAP results. This Non-GAAP financial measure may be different from similarly </w:t>
      </w:r>
      <w:r>
        <w:rPr>
          <w:rFonts w:ascii="Arial" w:cs="Arial" w:eastAsia="Arial" w:hAnsi="Arial"/>
          <w:sz w:val="17"/>
          <w:szCs w:val="17"/>
          <w:color w:val="auto"/>
        </w:rPr>
        <w:t>titled measures used by other companies. In the future, Take-Two may also consider whether other items</w:t>
      </w:r>
      <w:r>
        <w:rPr>
          <w:rFonts w:ascii="Arial" w:cs="Arial" w:eastAsia="Arial" w:hAnsi="Arial"/>
          <w:sz w:val="18"/>
          <w:szCs w:val="18"/>
          <w:color w:val="auto"/>
        </w:rPr>
        <w:t xml:space="preserve"> </w:t>
      </w:r>
      <w:r>
        <w:rPr>
          <w:rFonts w:ascii="Arial" w:cs="Arial" w:eastAsia="Arial" w:hAnsi="Arial"/>
          <w:sz w:val="17"/>
          <w:szCs w:val="17"/>
          <w:color w:val="auto"/>
        </w:rPr>
        <w:t>should also be excluded in calculating this Non-GAAP financial measure used by the Company. Management believes that the presentation of this Non-GAAP financial measure provides investors with additional useful information to measure Take-Two’s financial and operating performance. In particular, this measure facilitates comparison of our operating performance between periods and may help investors to understand better the operating results of Take-Two. Internally, management uses this 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193040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 w:name="page11"/>
    <w:bookmarkEnd w:id="10"/>
    <w:p>
      <w:pPr>
        <w:ind w:right="620"/>
        <w:spacing w:after="0" w:line="277" w:lineRule="auto"/>
        <w:rPr>
          <w:sz w:val="20"/>
          <w:szCs w:val="20"/>
          <w:color w:val="auto"/>
        </w:rPr>
      </w:pPr>
      <w:r>
        <w:rPr>
          <w:rFonts w:ascii="Arial" w:cs="Arial" w:eastAsia="Arial" w:hAnsi="Arial"/>
          <w:sz w:val="18"/>
          <w:szCs w:val="18"/>
          <w:color w:val="auto"/>
        </w:rPr>
        <w:t>GAAP financial measure in assessing the Company’s operating results and in planning and forecasting. A reconciliation of this Non-GAAP financial measure to the most comparable GAAP measure is contained in the financial tables to this press release.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Final Results</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financial results discussed herein are presented on a preliminary basis; final data will be included in Take-Two’s Quarterly Report on Form 10-Q for the period ended December 31, 2018.</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Take-Two Interactive Software</w:t>
      </w:r>
    </w:p>
    <w:p>
      <w:pPr>
        <w:spacing w:after="0" w:line="229"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Headquartered in New York City, Take-Two Interactive Software, Inc. is a leading developer, publisher and marketer of interactive entertainment for consumers around the globe. The Company develops and publishes products principally through its wholly-owned labels Rockstar Games and 2K, as well as its Private Division label and Social Point, a leading developer of mobile games. Our products are designed for console systems and personal computers, including smartphones and tablets, and are delivered through physical retail, digital download, online platforms and cloud streaming services. The Company’s common stock is publicly traded on NASDAQ under the symbol TTWO. For more corporate and product information please visit our website at http://www.take2games.com.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All trademarks and copyrights contained herein are the property of their respective holders.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Cautionary Note Regarding Forward-Looking Statements</w:t>
      </w:r>
    </w:p>
    <w:p>
      <w:pPr>
        <w:spacing w:after="0" w:line="229"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our dependence on key management and product development personnel, our dependence on our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products and our ability to develop other hit titles, the timely release and significant market acceptance of our games, the ability to maintain acceptable pricing levels on our games, and risks associated with international operations. Other important factors and information are contained in the Company’s most recent Annual Report on Form 10-K, including the risks summarized in the section entitled “Risk Factors,” the Company’s most recent Quarterly Report on Form 10-Q, and the Company’s other periodic filings with the SEC, which can be accessed at www.take2games.com. All forward-looking statements are qualified by these cautionary statements and apply only as of the date they are made. The Company undertakes no obligation to update any forward-looking statement, whether as a result of new information, future events or otherwise.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8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88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w w:val="96"/>
              </w:rPr>
              <w:t>Three months ended December 31,</w:t>
            </w:r>
          </w:p>
        </w:tc>
        <w:tc>
          <w:tcPr>
            <w:tcW w:w="220" w:type="dxa"/>
            <w:vAlign w:val="bottom"/>
          </w:tcPr>
          <w:p>
            <w:pPr>
              <w:spacing w:after="0"/>
              <w:rPr>
                <w:sz w:val="14"/>
                <w:szCs w:val="14"/>
                <w:color w:val="auto"/>
              </w:rPr>
            </w:pPr>
          </w:p>
        </w:tc>
        <w:tc>
          <w:tcPr>
            <w:tcW w:w="266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w w:val="96"/>
              </w:rPr>
              <w:t>Nine months ended December 31,</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8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11"/>
              <w:spacing w:after="0" w:line="142" w:lineRule="exact"/>
              <w:rPr>
                <w:sz w:val="20"/>
                <w:szCs w:val="20"/>
                <w:color w:val="auto"/>
              </w:rPr>
            </w:pPr>
            <w:r>
              <w:rPr>
                <w:rFonts w:ascii="Arial" w:cs="Arial" w:eastAsia="Arial" w:hAnsi="Arial"/>
                <w:sz w:val="14"/>
                <w:szCs w:val="14"/>
                <w:b w:val="1"/>
                <w:bCs w:val="1"/>
                <w:color w:val="auto"/>
              </w:rPr>
              <w:t>2018</w:t>
            </w:r>
          </w:p>
        </w:tc>
        <w:tc>
          <w:tcPr>
            <w:tcW w:w="1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28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390"/>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1020" w:type="dxa"/>
            <w:vAlign w:val="bottom"/>
            <w:tcBorders>
              <w:top w:val="single" w:sz="8" w:color="auto"/>
              <w:bottom w:val="single" w:sz="8" w:color="auto"/>
            </w:tcBorders>
          </w:tcPr>
          <w:p>
            <w:pPr>
              <w:jc w:val="right"/>
              <w:ind w:right="391"/>
              <w:spacing w:after="0" w:line="142" w:lineRule="exact"/>
              <w:rPr>
                <w:sz w:val="20"/>
                <w:szCs w:val="20"/>
                <w:color w:val="auto"/>
              </w:rPr>
            </w:pPr>
            <w:r>
              <w:rPr>
                <w:rFonts w:ascii="Arial" w:cs="Arial" w:eastAsia="Arial" w:hAnsi="Arial"/>
                <w:sz w:val="14"/>
                <w:szCs w:val="14"/>
                <w:b w:val="1"/>
                <w:bCs w:val="1"/>
                <w:color w:val="auto"/>
              </w:rPr>
              <w:t>2018</w:t>
            </w: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0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390"/>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8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76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1,248,738</w:t>
            </w:r>
          </w:p>
        </w:tc>
        <w:tc>
          <w:tcPr>
            <w:tcW w:w="40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480,840</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2,129,387</w:t>
            </w:r>
          </w:p>
        </w:tc>
        <w:tc>
          <w:tcPr>
            <w:tcW w:w="1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1,342,618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8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Internal royalties</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401,382</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112,996</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536,662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294,749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Product costs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183,208</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69,492</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277,234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156,124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Software development costs and royalties</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265,166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54,008</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337,603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164,419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Licenses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48,728</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31,487</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113,231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93,808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cost of goods sold</w:t>
            </w:r>
          </w:p>
        </w:tc>
        <w:tc>
          <w:tcPr>
            <w:tcW w:w="5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898,484</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267,983</w:t>
            </w:r>
          </w:p>
        </w:tc>
        <w:tc>
          <w:tcPr>
            <w:tcW w:w="28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1,264,730</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709,100</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8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Gross profit</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350,254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212,857</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864,657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633,518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Selling and marketing</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161,322</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79,513</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313,793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208,641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General and administrative</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70,638</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65,951</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205,693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187,378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Research and development</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62,305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49,977</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173,582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142,245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10,140</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7,864</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29,151</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34,490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Business reorganization</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(5,930)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700</w:t>
            </w:r>
          </w:p>
        </w:tc>
        <w:tc>
          <w:tcPr>
            <w:tcW w:w="22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rPr>
              <w:t>(6,172)</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13,012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expenses</w:t>
            </w:r>
          </w:p>
        </w:tc>
        <w:tc>
          <w:tcPr>
            <w:tcW w:w="5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298,475</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204,005</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716,047</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585,766</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Income from operations</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51,779</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8,852</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148,610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47,752</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Interest and other, net</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8,071</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3,374</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19,647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(2,403)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Income before income taxes</w:t>
            </w:r>
          </w:p>
        </w:tc>
        <w:tc>
          <w:tcPr>
            <w:tcW w:w="5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59,850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12,226</w:t>
            </w: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168,257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45,349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Benefit from income taxes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120,098</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12,914</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108,750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37,331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8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w:t>
            </w:r>
          </w:p>
        </w:tc>
        <w:tc>
          <w:tcPr>
            <w:tcW w:w="56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179,948</w:t>
            </w:r>
          </w:p>
        </w:tc>
        <w:tc>
          <w:tcPr>
            <w:tcW w:w="18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25,140</w:t>
            </w:r>
          </w:p>
        </w:tc>
        <w:tc>
          <w:tcPr>
            <w:tcW w:w="28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277,007</w:t>
            </w:r>
          </w:p>
        </w:tc>
        <w:tc>
          <w:tcPr>
            <w:tcW w:w="1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82,680</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48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Earnings per share:</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share</w:t>
            </w:r>
          </w:p>
        </w:tc>
        <w:tc>
          <w:tcPr>
            <w:tcW w:w="76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1.59</w:t>
            </w:r>
          </w:p>
        </w:tc>
        <w:tc>
          <w:tcPr>
            <w:tcW w:w="40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0.22</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2.44</w:t>
            </w: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Diluted earnings per share</w:t>
            </w:r>
          </w:p>
        </w:tc>
        <w:tc>
          <w:tcPr>
            <w:tcW w:w="760" w:type="dxa"/>
            <w:vAlign w:val="bottom"/>
            <w:gridSpan w:val="2"/>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1.57</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0.21</w:t>
            </w: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2.41</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0.74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Weighted average shares outstanding:</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Basic</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113,433</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113,991</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113,390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109,010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Diluted</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114,737</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117,918</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114,918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111,440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b w:val="1"/>
                <w:bCs w:val="1"/>
                <w:color w:val="auto"/>
              </w:rPr>
              <w:t>Computation of Basic EPS:</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income</w:t>
            </w:r>
          </w:p>
        </w:tc>
        <w:tc>
          <w:tcPr>
            <w:tcW w:w="76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179,948</w:t>
            </w:r>
          </w:p>
        </w:tc>
        <w:tc>
          <w:tcPr>
            <w:tcW w:w="40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25,140</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277,007</w:t>
            </w:r>
          </w:p>
        </w:tc>
        <w:tc>
          <w:tcPr>
            <w:tcW w:w="1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82,680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Less: net income allocated to participating securities</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(62)</w:t>
            </w:r>
          </w:p>
        </w:tc>
        <w:tc>
          <w:tcPr>
            <w:tcW w:w="22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(487)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top w:val="single" w:sz="8" w:color="CCEEFF"/>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Net income for basic EPS calculation</w:t>
            </w:r>
          </w:p>
        </w:tc>
        <w:tc>
          <w:tcPr>
            <w:tcW w:w="56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179,948</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25,078</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277,007</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82,193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8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Weighted average shares outstanding - basic</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113,433</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113,991</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113,390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109,010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Less: weighted average participating shares outstanding</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(279)</w:t>
            </w:r>
          </w:p>
        </w:tc>
        <w:tc>
          <w:tcPr>
            <w:tcW w:w="220" w:type="dxa"/>
            <w:vAlign w:val="bottom"/>
          </w:tcPr>
          <w:p>
            <w:pPr>
              <w:spacing w:after="0"/>
              <w:rPr>
                <w:sz w:val="18"/>
                <w:szCs w:val="18"/>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(278)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Weighted average common shares outstanding - basic</w:t>
            </w:r>
          </w:p>
        </w:tc>
        <w:tc>
          <w:tcPr>
            <w:tcW w:w="5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113,433</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113,712</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113,390</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108,732</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Basic earnings per share</w:t>
            </w:r>
          </w:p>
        </w:tc>
        <w:tc>
          <w:tcPr>
            <w:tcW w:w="76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1.59</w:t>
            </w:r>
          </w:p>
        </w:tc>
        <w:tc>
          <w:tcPr>
            <w:tcW w:w="400" w:type="dxa"/>
            <w:vAlign w:val="bottom"/>
            <w:gridSpan w:val="2"/>
            <w:shd w:val="clear" w:color="auto" w:fill="CCEEFF"/>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0.22</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2.44</w:t>
            </w:r>
          </w:p>
        </w:tc>
        <w:tc>
          <w:tcPr>
            <w:tcW w:w="40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8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Computation of Diluted EPS: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Net income</w:t>
            </w:r>
          </w:p>
        </w:tc>
        <w:tc>
          <w:tcPr>
            <w:tcW w:w="760" w:type="dxa"/>
            <w:vAlign w:val="bottom"/>
            <w:gridSpan w:val="2"/>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179,948</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25,140</w:t>
            </w: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277,007</w:t>
            </w:r>
          </w:p>
        </w:tc>
        <w:tc>
          <w:tcPr>
            <w:tcW w:w="180" w:type="dxa"/>
            <w:vAlign w:val="bottom"/>
          </w:tcPr>
          <w:p>
            <w:pPr>
              <w:spacing w:after="0"/>
              <w:rPr>
                <w:sz w:val="18"/>
                <w:szCs w:val="18"/>
                <w:color w:val="auto"/>
              </w:rPr>
            </w:pP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82,680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Less: net income allocated to participating securities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(59)</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880" w:type="dxa"/>
            <w:vAlign w:val="bottom"/>
            <w:tcBorders>
              <w:bottom w:val="single" w:sz="8" w:color="CCEEFF"/>
            </w:tcBorders>
          </w:tcPr>
          <w:p>
            <w:pPr>
              <w:ind w:left="520"/>
              <w:spacing w:after="0"/>
              <w:rPr>
                <w:sz w:val="20"/>
                <w:szCs w:val="20"/>
                <w:color w:val="auto"/>
              </w:rPr>
            </w:pPr>
            <w:r>
              <w:rPr>
                <w:rFonts w:ascii="Arial" w:cs="Arial" w:eastAsia="Arial" w:hAnsi="Arial"/>
                <w:sz w:val="18"/>
                <w:szCs w:val="18"/>
                <w:color w:val="auto"/>
              </w:rPr>
              <w:t>Net income for diluted EPS calculation</w:t>
            </w:r>
          </w:p>
        </w:tc>
        <w:tc>
          <w:tcPr>
            <w:tcW w:w="56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179,948</w:t>
            </w:r>
          </w:p>
        </w:tc>
        <w:tc>
          <w:tcPr>
            <w:tcW w:w="18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25,081</w:t>
            </w:r>
          </w:p>
        </w:tc>
        <w:tc>
          <w:tcPr>
            <w:tcW w:w="28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277,007</w:t>
            </w:r>
          </w:p>
        </w:tc>
        <w:tc>
          <w:tcPr>
            <w:tcW w:w="1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82,474</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8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Weighted average common shares outstanding - basic</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113,433</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113,712</w:t>
            </w:r>
          </w:p>
        </w:tc>
        <w:tc>
          <w:tcPr>
            <w:tcW w:w="2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113,390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108,732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Add: dilutive effect of common stock equivalents</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1,304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4,206</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1,528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Total weighted average shares outstanding - diluted</w:t>
            </w:r>
          </w:p>
        </w:tc>
        <w:tc>
          <w:tcPr>
            <w:tcW w:w="5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114,737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117,918</w:t>
            </w: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114,918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111,440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Less: weighted average participating shares outstanding</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(279)</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Weighted average common shares outstanding - diluted</w:t>
            </w:r>
          </w:p>
        </w:tc>
        <w:tc>
          <w:tcPr>
            <w:tcW w:w="5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114,737</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117,639</w:t>
            </w:r>
          </w:p>
        </w:tc>
        <w:tc>
          <w:tcPr>
            <w:tcW w:w="28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114,918</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111,162</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80" w:type="dxa"/>
            <w:vAlign w:val="bottom"/>
          </w:tcPr>
          <w:p>
            <w:pPr>
              <w:ind w:left="160"/>
              <w:spacing w:after="0"/>
              <w:rPr>
                <w:sz w:val="20"/>
                <w:szCs w:val="20"/>
                <w:color w:val="auto"/>
              </w:rPr>
            </w:pPr>
            <w:r>
              <w:rPr>
                <w:rFonts w:ascii="Arial" w:cs="Arial" w:eastAsia="Arial" w:hAnsi="Arial"/>
                <w:sz w:val="18"/>
                <w:szCs w:val="18"/>
                <w:color w:val="auto"/>
              </w:rPr>
              <w:t>Diluted earnings per share</w:t>
            </w:r>
          </w:p>
        </w:tc>
        <w:tc>
          <w:tcPr>
            <w:tcW w:w="760" w:type="dxa"/>
            <w:vAlign w:val="bottom"/>
            <w:gridSpan w:val="2"/>
          </w:tcPr>
          <w:p>
            <w:pPr>
              <w:jc w:val="right"/>
              <w:ind w:right="45"/>
              <w:spacing w:after="0"/>
              <w:rPr>
                <w:sz w:val="20"/>
                <w:szCs w:val="20"/>
                <w:color w:val="auto"/>
              </w:rPr>
            </w:pPr>
            <w:r>
              <w:rPr>
                <w:rFonts w:ascii="Arial" w:cs="Arial" w:eastAsia="Arial" w:hAnsi="Arial"/>
                <w:sz w:val="18"/>
                <w:szCs w:val="18"/>
                <w:b w:val="1"/>
                <w:bCs w:val="1"/>
                <w:color w:val="auto"/>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1.57</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0.21</w:t>
            </w:r>
          </w:p>
        </w:tc>
        <w:tc>
          <w:tcPr>
            <w:tcW w:w="220" w:type="dxa"/>
            <w:vAlign w:val="bottom"/>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2.41</w:t>
            </w:r>
          </w:p>
        </w:tc>
        <w:tc>
          <w:tcPr>
            <w:tcW w:w="40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0.74</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0"/>
        </w:trPr>
        <w:tc>
          <w:tcPr>
            <w:tcW w:w="20" w:type="dxa"/>
            <w:vAlign w:val="bottom"/>
            <w:tcBorders>
              <w:bottom w:val="single" w:sz="8" w:color="808080"/>
            </w:tcBorders>
          </w:tcPr>
          <w:p>
            <w:pPr>
              <w:spacing w:after="0"/>
              <w:rPr>
                <w:sz w:val="24"/>
                <w:szCs w:val="24"/>
                <w:color w:val="auto"/>
              </w:rPr>
            </w:pPr>
          </w:p>
        </w:tc>
        <w:tc>
          <w:tcPr>
            <w:tcW w:w="4880" w:type="dxa"/>
            <w:vAlign w:val="bottom"/>
            <w:tcBorders>
              <w:bottom w:val="single" w:sz="8" w:color="808080"/>
            </w:tcBorders>
          </w:tcPr>
          <w:p>
            <w:pPr>
              <w:spacing w:after="0"/>
              <w:rPr>
                <w:sz w:val="24"/>
                <w:szCs w:val="24"/>
                <w:color w:val="auto"/>
              </w:rPr>
            </w:pPr>
          </w:p>
        </w:tc>
        <w:tc>
          <w:tcPr>
            <w:tcW w:w="56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1060" w:type="dxa"/>
            <w:vAlign w:val="bottom"/>
            <w:tcBorders>
              <w:bottom w:val="single" w:sz="8" w:color="808080"/>
            </w:tcBorders>
          </w:tcPr>
          <w:p>
            <w:pPr>
              <w:spacing w:after="0"/>
              <w:rPr>
                <w:sz w:val="24"/>
                <w:szCs w:val="24"/>
                <w:color w:val="auto"/>
              </w:rPr>
            </w:pPr>
          </w:p>
        </w:tc>
        <w:tc>
          <w:tcPr>
            <w:tcW w:w="1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96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1020" w:type="dxa"/>
            <w:vAlign w:val="bottom"/>
            <w:tcBorders>
              <w:bottom w:val="single" w:sz="8" w:color="808080"/>
            </w:tcBorders>
          </w:tcPr>
          <w:p>
            <w:pPr>
              <w:spacing w:after="0"/>
              <w:rPr>
                <w:sz w:val="24"/>
                <w:szCs w:val="24"/>
                <w:color w:val="auto"/>
              </w:rPr>
            </w:pPr>
          </w:p>
        </w:tc>
        <w:tc>
          <w:tcPr>
            <w:tcW w:w="18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9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2" w:name="page13"/>
    <w:bookmarkEnd w:id="12"/>
    <w:p>
      <w:pPr>
        <w:jc w:val="center"/>
        <w:ind w:right="4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140"/>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0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0"/>
              </w:rPr>
              <w:t>December 31,</w:t>
            </w:r>
          </w:p>
        </w:tc>
        <w:tc>
          <w:tcPr>
            <w:tcW w:w="220" w:type="dxa"/>
            <w:vAlign w:val="bottom"/>
          </w:tcPr>
          <w:p>
            <w:pPr>
              <w:spacing w:after="0"/>
              <w:rPr>
                <w:sz w:val="14"/>
                <w:szCs w:val="14"/>
                <w:color w:val="auto"/>
              </w:rPr>
            </w:pPr>
          </w:p>
        </w:tc>
        <w:tc>
          <w:tcPr>
            <w:tcW w:w="124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0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center"/>
              <w:ind w:right="91"/>
              <w:spacing w:after="0"/>
              <w:rPr>
                <w:sz w:val="20"/>
                <w:szCs w:val="20"/>
                <w:color w:val="auto"/>
              </w:rPr>
            </w:pPr>
            <w:r>
              <w:rPr>
                <w:rFonts w:ascii="Arial" w:cs="Arial" w:eastAsia="Arial" w:hAnsi="Arial"/>
                <w:sz w:val="14"/>
                <w:szCs w:val="14"/>
                <w:b w:val="1"/>
                <w:bCs w:val="1"/>
                <w:color w:val="auto"/>
                <w:w w:val="96"/>
              </w:rPr>
              <w:t>2018</w:t>
            </w:r>
          </w:p>
        </w:tc>
        <w:tc>
          <w:tcPr>
            <w:tcW w:w="2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center"/>
              <w:ind w:right="91"/>
              <w:spacing w:after="0" w:line="142" w:lineRule="exact"/>
              <w:rPr>
                <w:sz w:val="20"/>
                <w:szCs w:val="20"/>
                <w:color w:val="auto"/>
              </w:rPr>
            </w:pPr>
            <w:r>
              <w:rPr>
                <w:rFonts w:ascii="Arial" w:cs="Arial" w:eastAsia="Arial" w:hAnsi="Arial"/>
                <w:sz w:val="14"/>
                <w:szCs w:val="14"/>
                <w:b w:val="1"/>
                <w:bCs w:val="1"/>
                <w:color w:val="auto"/>
                <w:w w:val="95"/>
              </w:rPr>
              <w:t>(Unaudited)</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3660"/>
              <w:spacing w:after="0"/>
              <w:rPr>
                <w:sz w:val="20"/>
                <w:szCs w:val="20"/>
                <w:color w:val="auto"/>
              </w:rPr>
            </w:pPr>
            <w:r>
              <w:rPr>
                <w:rFonts w:ascii="Arial" w:cs="Arial" w:eastAsia="Arial" w:hAnsi="Arial"/>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spacing w:after="0"/>
              <w:rPr>
                <w:sz w:val="20"/>
                <w:szCs w:val="20"/>
                <w:color w:val="auto"/>
              </w:rPr>
            </w:pPr>
            <w:r>
              <w:rPr>
                <w:rFonts w:ascii="Arial" w:cs="Arial" w:eastAsia="Arial" w:hAnsi="Arial"/>
                <w:sz w:val="18"/>
                <w:szCs w:val="18"/>
                <w:color w:val="auto"/>
              </w:rPr>
              <w:t>Current assets: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1,054,911</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808,973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Short-term investments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545,734</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615,406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Restricted cash</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240,584</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437,398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080" w:type="dxa"/>
            <w:vAlign w:val="bottom"/>
          </w:tcPr>
          <w:p>
            <w:pPr>
              <w:ind w:left="160"/>
              <w:spacing w:after="0" w:line="201" w:lineRule="exact"/>
              <w:rPr>
                <w:sz w:val="20"/>
                <w:szCs w:val="20"/>
                <w:color w:val="auto"/>
              </w:rPr>
            </w:pPr>
            <w:r>
              <w:rPr>
                <w:rFonts w:ascii="Arial" w:cs="Arial" w:eastAsia="Arial" w:hAnsi="Arial"/>
                <w:sz w:val="18"/>
                <w:szCs w:val="18"/>
                <w:color w:val="auto"/>
                <w:w w:val="93"/>
              </w:rPr>
              <w:t>Accounts receivable, net of allowances of $1,003 and $54,290 at December 31, 2018 and March 31, 2018,</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80" w:type="dxa"/>
            <w:vAlign w:val="bottom"/>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823,482</w:t>
            </w: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80" w:type="dxa"/>
            <w:vAlign w:val="bottom"/>
          </w:tcPr>
          <w:p>
            <w:pPr>
              <w:ind w:left="340"/>
              <w:spacing w:after="0"/>
              <w:rPr>
                <w:sz w:val="20"/>
                <w:szCs w:val="20"/>
                <w:color w:val="auto"/>
              </w:rPr>
            </w:pPr>
            <w:r>
              <w:rPr>
                <w:rFonts w:ascii="Arial" w:cs="Arial" w:eastAsia="Arial" w:hAnsi="Arial"/>
                <w:sz w:val="18"/>
                <w:szCs w:val="18"/>
                <w:color w:val="auto"/>
              </w:rPr>
              <w:t>respectively</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247,649</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Inventory</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39,786</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15,162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Software development costs and licenses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33,542</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33,284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Deferred cost of goods sold</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57,280</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117,851</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Prepaid expenses and other</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179,454</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133,454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current assets</w:t>
            </w:r>
          </w:p>
        </w:tc>
        <w:tc>
          <w:tcPr>
            <w:tcW w:w="2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2,974,773</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2,409,177</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Fixed assets, net</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114,672</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102,478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Software development costs and licenses, net of current portion</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597,497</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639,369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Deferred cost of goods sold, net of current portion</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7,819</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26,719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Goodwill</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383,110</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399,530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intangibles, net</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79,903</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103,681</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Deferred tax assets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146,216</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4,930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Other assets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83,170</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56,887</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80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assets</w:t>
            </w:r>
          </w:p>
        </w:tc>
        <w:tc>
          <w:tcPr>
            <w:tcW w:w="2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4,387,160</w:t>
            </w:r>
          </w:p>
        </w:tc>
        <w:tc>
          <w:tcPr>
            <w:tcW w:w="280" w:type="dxa"/>
            <w:vAlign w:val="bottom"/>
            <w:tcBorders>
              <w:bottom w:val="single" w:sz="8" w:color="CCEEFF"/>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3,742,771</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80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2020"/>
              <w:spacing w:after="0"/>
              <w:rPr>
                <w:sz w:val="20"/>
                <w:szCs w:val="20"/>
                <w:color w:val="auto"/>
              </w:rPr>
            </w:pPr>
            <w:r>
              <w:rPr>
                <w:rFonts w:ascii="Arial" w:cs="Arial" w:eastAsia="Arial" w:hAnsi="Arial"/>
                <w:sz w:val="18"/>
                <w:szCs w:val="18"/>
                <w:b w:val="1"/>
                <w:bCs w:val="1"/>
                <w:color w:val="auto"/>
              </w:rPr>
              <w:t>LIABILITIES AND STOCKHOLDERS’ EQUITY</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Accounts payable</w:t>
            </w:r>
          </w:p>
        </w:tc>
        <w:tc>
          <w:tcPr>
            <w:tcW w:w="3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74,615</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35,029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Accrued expenses and other current liabilities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1,206,332</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914,748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Deferred revenue</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818,411</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777,152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current liabilities</w:t>
            </w:r>
          </w:p>
        </w:tc>
        <w:tc>
          <w:tcPr>
            <w:tcW w:w="2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2,099,358</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1,726,929</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8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8,068</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spacing w:after="0"/>
              <w:rPr>
                <w:sz w:val="20"/>
                <w:szCs w:val="20"/>
                <w:color w:val="auto"/>
              </w:rPr>
            </w:pPr>
            <w:r>
              <w:rPr>
                <w:rFonts w:ascii="Arial" w:cs="Arial" w:eastAsia="Arial" w:hAnsi="Arial"/>
                <w:sz w:val="18"/>
                <w:szCs w:val="18"/>
                <w:color w:val="auto"/>
              </w:rPr>
              <w:t>Non-current deferred revenue</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69,137</w:t>
            </w:r>
          </w:p>
        </w:tc>
        <w:tc>
          <w:tcPr>
            <w:tcW w:w="22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355,589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spacing w:after="0"/>
              <w:rPr>
                <w:sz w:val="20"/>
                <w:szCs w:val="20"/>
                <w:color w:val="auto"/>
              </w:rPr>
            </w:pPr>
            <w:r>
              <w:rPr>
                <w:rFonts w:ascii="Arial" w:cs="Arial" w:eastAsia="Arial" w:hAnsi="Arial"/>
                <w:sz w:val="18"/>
                <w:szCs w:val="18"/>
                <w:color w:val="auto"/>
              </w:rPr>
              <w:t>Other long-term liabilities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191,198</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158,285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Total liabilities</w:t>
            </w:r>
          </w:p>
        </w:tc>
        <w:tc>
          <w:tcPr>
            <w:tcW w:w="20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2,359,693</w:t>
            </w:r>
          </w:p>
        </w:tc>
        <w:tc>
          <w:tcPr>
            <w:tcW w:w="28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2,248,871</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80" w:type="dxa"/>
            <w:vAlign w:val="bottom"/>
          </w:tcPr>
          <w:p>
            <w:pPr>
              <w:spacing w:after="0"/>
              <w:rPr>
                <w:sz w:val="20"/>
                <w:szCs w:val="20"/>
                <w:color w:val="auto"/>
              </w:rPr>
            </w:pPr>
            <w:r>
              <w:rPr>
                <w:rFonts w:ascii="Arial" w:cs="Arial" w:eastAsia="Arial" w:hAnsi="Arial"/>
                <w:sz w:val="18"/>
                <w:szCs w:val="18"/>
                <w:color w:val="auto"/>
              </w:rPr>
              <w:t>Stockholders’ equity:</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Preferred stock, $.01 par value, 5,000 shares authorized</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080" w:type="dxa"/>
            <w:vAlign w:val="bottom"/>
          </w:tcPr>
          <w:p>
            <w:pPr>
              <w:ind w:left="160"/>
              <w:spacing w:after="0" w:line="201" w:lineRule="exact"/>
              <w:rPr>
                <w:sz w:val="20"/>
                <w:szCs w:val="20"/>
                <w:color w:val="auto"/>
              </w:rPr>
            </w:pPr>
            <w:r>
              <w:rPr>
                <w:rFonts w:ascii="Arial" w:cs="Arial" w:eastAsia="Arial" w:hAnsi="Arial"/>
                <w:sz w:val="18"/>
                <w:szCs w:val="18"/>
                <w:color w:val="auto"/>
                <w:w w:val="90"/>
              </w:rPr>
              <w:t>Common stock, $.01 par value, 200,000 shares authorized; 134,396 and 132,743 shares issued and 113,094</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80" w:type="dxa"/>
            <w:vAlign w:val="bottom"/>
            <w:gridSpan w:val="2"/>
            <w:vMerge w:val="restart"/>
          </w:tcPr>
          <w:p>
            <w:pPr>
              <w:jc w:val="right"/>
              <w:ind w:right="280"/>
              <w:spacing w:after="0"/>
              <w:rPr>
                <w:sz w:val="20"/>
                <w:szCs w:val="20"/>
                <w:color w:val="auto"/>
              </w:rPr>
            </w:pPr>
            <w:r>
              <w:rPr>
                <w:rFonts w:ascii="Arial" w:cs="Arial" w:eastAsia="Arial" w:hAnsi="Arial"/>
                <w:sz w:val="18"/>
                <w:szCs w:val="18"/>
                <w:b w:val="1"/>
                <w:bCs w:val="1"/>
                <w:color w:val="auto"/>
              </w:rPr>
              <w:t>1,344</w:t>
            </w: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80" w:type="dxa"/>
            <w:vAlign w:val="bottom"/>
          </w:tcPr>
          <w:p>
            <w:pPr>
              <w:ind w:left="340"/>
              <w:spacing w:after="0"/>
              <w:rPr>
                <w:sz w:val="20"/>
                <w:szCs w:val="20"/>
                <w:color w:val="auto"/>
              </w:rPr>
            </w:pPr>
            <w:r>
              <w:rPr>
                <w:rFonts w:ascii="Arial" w:cs="Arial" w:eastAsia="Arial" w:hAnsi="Arial"/>
                <w:sz w:val="18"/>
                <w:szCs w:val="18"/>
                <w:color w:val="auto"/>
              </w:rPr>
              <w:t>and 114,038 outstanding at December 31, 2018 and March 31, 2018, respectively</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1,327</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Additional paid-in capital</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1,976,853</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1,888,039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080" w:type="dxa"/>
            <w:vAlign w:val="bottom"/>
          </w:tcPr>
          <w:p>
            <w:pPr>
              <w:ind w:left="160"/>
              <w:spacing w:after="0" w:line="201" w:lineRule="exact"/>
              <w:rPr>
                <w:sz w:val="20"/>
                <w:szCs w:val="20"/>
                <w:color w:val="auto"/>
              </w:rPr>
            </w:pPr>
            <w:r>
              <w:rPr>
                <w:rFonts w:ascii="Arial" w:cs="Arial" w:eastAsia="Arial" w:hAnsi="Arial"/>
                <w:sz w:val="18"/>
                <w:szCs w:val="18"/>
                <w:color w:val="auto"/>
                <w:w w:val="95"/>
              </w:rPr>
              <w:t>Treasury stock, at cost; 21,302 and 18,705 common shares at December 31, 2018 and March 31, 2018,</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8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rPr>
              <w:t>(720,572)</w:t>
            </w: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80" w:type="dxa"/>
            <w:vAlign w:val="bottom"/>
          </w:tcPr>
          <w:p>
            <w:pPr>
              <w:ind w:left="340"/>
              <w:spacing w:after="0"/>
              <w:rPr>
                <w:sz w:val="20"/>
                <w:szCs w:val="20"/>
                <w:color w:val="auto"/>
              </w:rPr>
            </w:pPr>
            <w:r>
              <w:rPr>
                <w:rFonts w:ascii="Arial" w:cs="Arial" w:eastAsia="Arial" w:hAnsi="Arial"/>
                <w:sz w:val="18"/>
                <w:szCs w:val="18"/>
                <w:color w:val="auto"/>
              </w:rPr>
              <w:t>respectively</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vMerge w:val="continue"/>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(458,180)</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Retained earnings</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820,796</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73,516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80" w:type="dxa"/>
            <w:vAlign w:val="bottom"/>
          </w:tcPr>
          <w:p>
            <w:pPr>
              <w:ind w:left="160"/>
              <w:spacing w:after="0"/>
              <w:rPr>
                <w:sz w:val="20"/>
                <w:szCs w:val="20"/>
                <w:color w:val="auto"/>
              </w:rPr>
            </w:pPr>
            <w:r>
              <w:rPr>
                <w:rFonts w:ascii="Arial" w:cs="Arial" w:eastAsia="Arial" w:hAnsi="Arial"/>
                <w:sz w:val="18"/>
                <w:szCs w:val="18"/>
                <w:color w:val="auto"/>
              </w:rPr>
              <w:t>Accumulated other comprehensive loss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(50,954)</w:t>
            </w:r>
          </w:p>
        </w:tc>
        <w:tc>
          <w:tcPr>
            <w:tcW w:w="22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(15,732)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Total stockholders’ equity</w:t>
            </w:r>
          </w:p>
        </w:tc>
        <w:tc>
          <w:tcPr>
            <w:tcW w:w="2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2,027,467</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1,488,970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80" w:type="dxa"/>
            <w:vAlign w:val="bottom"/>
          </w:tcPr>
          <w:p>
            <w:pPr>
              <w:ind w:left="340"/>
              <w:spacing w:after="0"/>
              <w:rPr>
                <w:sz w:val="20"/>
                <w:szCs w:val="20"/>
                <w:color w:val="auto"/>
              </w:rPr>
            </w:pPr>
            <w:r>
              <w:rPr>
                <w:rFonts w:ascii="Arial" w:cs="Arial" w:eastAsia="Arial" w:hAnsi="Arial"/>
                <w:sz w:val="18"/>
                <w:szCs w:val="18"/>
                <w:color w:val="auto"/>
              </w:rPr>
              <w:t>Total liabilities and stockholders’ equity</w:t>
            </w:r>
          </w:p>
        </w:tc>
        <w:tc>
          <w:tcPr>
            <w:tcW w:w="2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4,387,160</w:t>
            </w:r>
          </w:p>
        </w:tc>
        <w:tc>
          <w:tcPr>
            <w:tcW w:w="28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3,737,841</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20" w:type="dxa"/>
            <w:vAlign w:val="bottom"/>
            <w:tcBorders>
              <w:bottom w:val="single" w:sz="8" w:color="808080"/>
            </w:tcBorders>
          </w:tcPr>
          <w:p>
            <w:pPr>
              <w:spacing w:after="0"/>
              <w:rPr>
                <w:sz w:val="24"/>
                <w:szCs w:val="24"/>
                <w:color w:val="auto"/>
              </w:rPr>
            </w:pPr>
          </w:p>
        </w:tc>
        <w:tc>
          <w:tcPr>
            <w:tcW w:w="808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180" w:type="dxa"/>
            <w:vAlign w:val="bottom"/>
            <w:tcBorders>
              <w:bottom w:val="single" w:sz="8" w:color="808080"/>
            </w:tcBorders>
          </w:tcPr>
          <w:p>
            <w:pPr>
              <w:spacing w:after="0"/>
              <w:rPr>
                <w:sz w:val="24"/>
                <w:szCs w:val="24"/>
                <w:color w:val="auto"/>
              </w:rPr>
            </w:pPr>
          </w:p>
        </w:tc>
        <w:tc>
          <w:tcPr>
            <w:tcW w:w="120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1140" w:type="dxa"/>
            <w:vAlign w:val="bottom"/>
            <w:tcBorders>
              <w:bottom w:val="single" w:sz="8" w:color="808080"/>
            </w:tcBorders>
          </w:tcPr>
          <w:p>
            <w:pPr>
              <w:spacing w:after="0"/>
              <w:rPr>
                <w:sz w:val="24"/>
                <w:szCs w:val="24"/>
                <w:color w:val="auto"/>
              </w:rPr>
            </w:pPr>
          </w:p>
        </w:tc>
        <w:tc>
          <w:tcPr>
            <w:tcW w:w="2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7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4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w w:val="99"/>
              </w:rPr>
              <w:t>Nine months ended December 31,</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714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80" w:type="dxa"/>
            <w:vAlign w:val="bottom"/>
            <w:tcBorders>
              <w:top w:val="single" w:sz="8" w:color="auto"/>
            </w:tcBorders>
          </w:tcPr>
          <w:p>
            <w:pPr>
              <w:spacing w:after="0"/>
              <w:rPr>
                <w:sz w:val="10"/>
                <w:szCs w:val="10"/>
                <w:color w:val="auto"/>
              </w:rPr>
            </w:pPr>
          </w:p>
        </w:tc>
        <w:tc>
          <w:tcPr>
            <w:tcW w:w="1100" w:type="dxa"/>
            <w:vAlign w:val="bottom"/>
            <w:tcBorders>
              <w:top w:val="single" w:sz="8" w:color="auto"/>
            </w:tcBorders>
            <w:vMerge w:val="restart"/>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220" w:type="dxa"/>
            <w:vAlign w:val="bottom"/>
            <w:tcBorders>
              <w:top w:val="single" w:sz="8" w:color="auto"/>
            </w:tcBorders>
          </w:tcPr>
          <w:p>
            <w:pPr>
              <w:jc w:val="right"/>
              <w:ind w:right="451"/>
              <w:spacing w:after="0" w:line="119" w:lineRule="exact"/>
              <w:rPr>
                <w:sz w:val="20"/>
                <w:szCs w:val="20"/>
                <w:color w:val="auto"/>
              </w:rPr>
            </w:pPr>
            <w:r>
              <w:rPr>
                <w:rFonts w:ascii="Arial" w:cs="Arial" w:eastAsia="Arial" w:hAnsi="Arial"/>
                <w:sz w:val="13"/>
                <w:szCs w:val="13"/>
                <w:b w:val="1"/>
                <w:bCs w:val="1"/>
                <w:color w:val="auto"/>
              </w:rPr>
              <w:t>2017</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4"/>
              </w:rPr>
              <w:t>(as adjusted) (1)</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Net income</w:t>
            </w:r>
          </w:p>
        </w:tc>
        <w:tc>
          <w:tcPr>
            <w:tcW w:w="142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277,007</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82,680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Amortization and impairment of software development costs and licenses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160,167</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62,235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Depreciation</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28,769</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23,233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Amortization of intellectual property</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17,785</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26,470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Impairment of in-process research and development</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Stock-based compensation</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178,609</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96,111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 of discount on Convertible Notes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91</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15,424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Gain on redemption of Convertible Notes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(4,855)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Amortization of debt issuance costs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88</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Other, net</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(4,091)</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3,432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 xml:space="preserve">Changes in assets and liabilities, net of impact of adoption of </w:t>
            </w:r>
            <w:r>
              <w:rPr>
                <w:rFonts w:ascii="Arial" w:cs="Arial" w:eastAsia="Arial" w:hAnsi="Arial"/>
                <w:sz w:val="18"/>
                <w:szCs w:val="18"/>
                <w:i w:val="1"/>
                <w:iCs w:val="1"/>
                <w:color w:val="auto"/>
              </w:rPr>
              <w:t>Topic 606</w:t>
            </w:r>
            <w:r>
              <w:rPr>
                <w:rFonts w:ascii="Arial" w:cs="Arial" w:eastAsia="Arial" w:hAnsi="Arial"/>
                <w:sz w:val="18"/>
                <w:szCs w:val="18"/>
                <w:color w:val="auto"/>
              </w:rPr>
              <w:t>:</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Accounts receivable</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(525,981)</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(206,084)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Inventory</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(26,352)</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(12,976)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Software development costs and licenses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(157,710)</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(186,373)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Prepaid expenses and other current and other non-current assets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(142,918)</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Deferred revenue</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328,325</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238,590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cost of goods sold</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(37,281)</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(33,578)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340"/>
              <w:spacing w:after="0"/>
              <w:rPr>
                <w:sz w:val="20"/>
                <w:szCs w:val="20"/>
                <w:color w:val="auto"/>
              </w:rPr>
            </w:pPr>
            <w:r>
              <w:rPr>
                <w:rFonts w:ascii="Arial" w:cs="Arial" w:eastAsia="Arial" w:hAnsi="Arial"/>
                <w:sz w:val="18"/>
                <w:szCs w:val="18"/>
                <w:color w:val="auto"/>
              </w:rPr>
              <w:t>Accounts payable, accrued expenses and other liabilities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293,691</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164,086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Borders>
              <w:top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Net cash provided by operating activities</w:t>
            </w:r>
          </w:p>
        </w:tc>
        <w:tc>
          <w:tcPr>
            <w:tcW w:w="1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390,199</w:t>
            </w:r>
          </w:p>
        </w:tc>
        <w:tc>
          <w:tcPr>
            <w:tcW w:w="2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241,073</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Change in bank time deposits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64,101</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Proceeds from available-for-sale securities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184,542</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172,925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Purchases of available-for-sale securities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(179,570)</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(282,596)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Purchases of fixed assets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(43,646)</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(47,478)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Asset acquisition</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(25,965)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Business acquisition</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(3,149)</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(9,401)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Net cash provided by (used in) investing activities</w:t>
            </w:r>
          </w:p>
        </w:tc>
        <w:tc>
          <w:tcPr>
            <w:tcW w:w="114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22,278</w:t>
            </w:r>
          </w:p>
        </w:tc>
        <w:tc>
          <w:tcPr>
            <w:tcW w:w="280" w:type="dxa"/>
            <w:vAlign w:val="bottom"/>
            <w:tcBorders>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(182,515)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14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Tax payment related to net share settlements on restricted stock awards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(85,837)</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(94,930)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Repurchase of common stock</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(262,392)</w:t>
            </w:r>
          </w:p>
        </w:tc>
        <w:tc>
          <w:tcPr>
            <w:tcW w:w="14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(110,136)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Borders>
              <w:top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Net cash used in financing activities</w:t>
            </w:r>
          </w:p>
        </w:tc>
        <w:tc>
          <w:tcPr>
            <w:tcW w:w="11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(348,230)</w:t>
            </w:r>
          </w:p>
        </w:tc>
        <w:tc>
          <w:tcPr>
            <w:tcW w:w="2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(205,066)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Effects of foreign currency exchange rates on cash and cash equivalents</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(15,124)</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14,555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change in cash and cash equivalents and restricted cash</w:t>
            </w: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49,124</w:t>
            </w:r>
          </w:p>
        </w:tc>
        <w:tc>
          <w:tcPr>
            <w:tcW w:w="1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(131,953)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tcPr>
          <w:p>
            <w:pPr>
              <w:ind w:left="160"/>
              <w:spacing w:after="0"/>
              <w:rPr>
                <w:sz w:val="20"/>
                <w:szCs w:val="20"/>
                <w:color w:val="auto"/>
              </w:rPr>
            </w:pPr>
            <w:r>
              <w:rPr>
                <w:rFonts w:ascii="Arial" w:cs="Arial" w:eastAsia="Arial" w:hAnsi="Arial"/>
                <w:sz w:val="18"/>
                <w:szCs w:val="18"/>
                <w:color w:val="auto"/>
              </w:rPr>
              <w:t>Cash and cash equivalents and restricted cash, beginning of year</w:t>
            </w: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1,246,371</w:t>
            </w:r>
          </w:p>
        </w:tc>
        <w:tc>
          <w:tcPr>
            <w:tcW w:w="14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1,281,214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40" w:type="dxa"/>
            <w:vAlign w:val="bottom"/>
            <w:tcBorders>
              <w:top w:val="single" w:sz="8" w:color="CCEEFF"/>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Cash and cash equivalents and restricted cash, end of period</w:t>
            </w:r>
          </w:p>
        </w:tc>
        <w:tc>
          <w:tcPr>
            <w:tcW w:w="114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1,295,495</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1,149,261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jc w:val="both"/>
        <w:ind w:left="180" w:right="20" w:firstLine="10"/>
        <w:spacing w:after="0" w:line="264" w:lineRule="auto"/>
        <w:tabs>
          <w:tab w:leader="none" w:pos="4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During Q1 FY19, the Company adopted Accounting Standards Update 2016-18, </w:t>
      </w:r>
      <w:r>
        <w:rPr>
          <w:rFonts w:ascii="Arial" w:cs="Arial" w:eastAsia="Arial" w:hAnsi="Arial"/>
          <w:sz w:val="18"/>
          <w:szCs w:val="18"/>
          <w:i w:val="1"/>
          <w:iCs w:val="1"/>
          <w:color w:val="auto"/>
        </w:rPr>
        <w:t>Statement of Cash Flows (Topic 230): Restricted Cash</w:t>
      </w:r>
      <w:r>
        <w:rPr>
          <w:rFonts w:ascii="Arial" w:cs="Arial" w:eastAsia="Arial" w:hAnsi="Arial"/>
          <w:sz w:val="18"/>
          <w:szCs w:val="18"/>
          <w:color w:val="auto"/>
        </w:rPr>
        <w:t xml:space="preserve"> and applied that standard retroactively. The application of this new standard resulted in a decrease to net cash from operating activities of $196.8 million in Q3 FY19 and an increase of $37.0 million in Q3 FY18, which are reflected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4" w:name="page15"/>
    <w:bookmarkEnd w:id="14"/>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left="20" w:right="4100"/>
        <w:spacing w:after="0" w:line="261" w:lineRule="auto"/>
        <w:rPr>
          <w:sz w:val="20"/>
          <w:szCs w:val="20"/>
          <w:color w:val="auto"/>
        </w:rPr>
      </w:pPr>
      <w:r>
        <w:rPr>
          <w:rFonts w:ascii="Arial" w:cs="Arial" w:eastAsia="Arial" w:hAnsi="Arial"/>
          <w:sz w:val="18"/>
          <w:szCs w:val="18"/>
          <w:b w:val="1"/>
          <w:bCs w:val="1"/>
          <w:color w:val="auto"/>
        </w:rPr>
        <w:t>Net Revenue and Net Bookings by Geographic Region, Distribution Channel, and Platform Mix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geographic region</w:t>
            </w:r>
          </w:p>
        </w:tc>
        <w:tc>
          <w:tcPr>
            <w:tcW w:w="2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United States</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651,568</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52%</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262,338</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International</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597,170</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48%</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218,502</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1,248,738</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480,840</w:t>
            </w:r>
          </w:p>
        </w:tc>
        <w:tc>
          <w:tcPr>
            <w:tcW w:w="280" w:type="dxa"/>
            <w:vAlign w:val="bottom"/>
            <w:vMerge w:val="continue"/>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geographic region</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United States</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803,341</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51%</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381,277</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International</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765,227</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49%</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272,664</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1,568,568</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653,941</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5"/>
        </w:trPr>
        <w:tc>
          <w:tcPr>
            <w:tcW w:w="4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distribution channel</w:t>
            </w:r>
          </w:p>
        </w:tc>
        <w:tc>
          <w:tcPr>
            <w:tcW w:w="2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Digital online</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594,722</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48%</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258,442</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54%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Physical retail and other</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654,016</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52%</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222,398</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1,248,738</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480,840</w:t>
            </w:r>
          </w:p>
        </w:tc>
        <w:tc>
          <w:tcPr>
            <w:tcW w:w="280" w:type="dxa"/>
            <w:vAlign w:val="bottom"/>
            <w:vMerge w:val="continue"/>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distribution channel</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Digital online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703,777</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45%</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379,723</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Physical retail and other</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864,791</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55%</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274,218</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1,568,568</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653,941</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5"/>
        </w:trPr>
        <w:tc>
          <w:tcPr>
            <w:tcW w:w="4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4980" w:type="dxa"/>
            <w:vAlign w:val="bottom"/>
            <w:tcBorders>
              <w:top w:val="single" w:sz="8" w:color="CCEEFF"/>
            </w:tcBorders>
            <w:shd w:val="clear" w:color="auto" w:fill="CCEEFF"/>
          </w:tcPr>
          <w:p>
            <w:pPr>
              <w:ind w:left="180"/>
              <w:spacing w:after="0" w:line="196" w:lineRule="exact"/>
              <w:rPr>
                <w:sz w:val="20"/>
                <w:szCs w:val="20"/>
                <w:color w:val="auto"/>
              </w:rPr>
            </w:pPr>
            <w:r>
              <w:rPr>
                <w:rFonts w:ascii="Arial" w:cs="Arial" w:eastAsia="Arial" w:hAnsi="Arial"/>
                <w:sz w:val="18"/>
                <w:szCs w:val="18"/>
                <w:b w:val="1"/>
                <w:bCs w:val="1"/>
                <w:color w:val="auto"/>
              </w:rPr>
              <w:t>Net revenue by platform mix</w:t>
            </w:r>
          </w:p>
        </w:tc>
        <w:tc>
          <w:tcPr>
            <w:tcW w:w="2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3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Console</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1,144,459</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92%</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394,461</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PC and other</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104,279</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8%</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86,379</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1,248,738</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480,840</w:t>
            </w:r>
          </w:p>
        </w:tc>
        <w:tc>
          <w:tcPr>
            <w:tcW w:w="280" w:type="dxa"/>
            <w:vAlign w:val="bottom"/>
            <w:vMerge w:val="continue"/>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platform mix</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Console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1,454,394</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93%</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546,645</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PC and other</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114,172</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7%</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107,296</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1,568,568</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653,941</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1"/>
        </w:trPr>
        <w:tc>
          <w:tcPr>
            <w:tcW w:w="49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98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3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10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5" w:name="page16"/>
    <w:bookmarkEnd w:id="15"/>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left="20" w:right="4100"/>
        <w:spacing w:after="0" w:line="261" w:lineRule="auto"/>
        <w:rPr>
          <w:sz w:val="20"/>
          <w:szCs w:val="20"/>
          <w:color w:val="auto"/>
        </w:rPr>
      </w:pPr>
      <w:r>
        <w:rPr>
          <w:rFonts w:ascii="Arial" w:cs="Arial" w:eastAsia="Arial" w:hAnsi="Arial"/>
          <w:sz w:val="18"/>
          <w:szCs w:val="18"/>
          <w:b w:val="1"/>
          <w:bCs w:val="1"/>
          <w:color w:val="auto"/>
        </w:rPr>
        <w:t>Net Revenue and Net Bookings by Geographic Region, Distribution Channel, and Platform Mix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Nine Months Ended</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4"/>
              </w:rPr>
              <w:t>Nine Months Ended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geographic region</w:t>
            </w:r>
          </w:p>
        </w:tc>
        <w:tc>
          <w:tcPr>
            <w:tcW w:w="2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United States</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1,152,285</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54%</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796,603</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International</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977,102</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46%</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546,015</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2,129,387</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1,342,618</w:t>
            </w:r>
          </w:p>
        </w:tc>
        <w:tc>
          <w:tcPr>
            <w:tcW w:w="280" w:type="dxa"/>
            <w:vAlign w:val="bottom"/>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geographic region</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United States</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1,322,466</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54%</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929,229</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International</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1,117,848</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46%</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650,005</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41%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2,440,314</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1,579,234</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5"/>
        </w:trPr>
        <w:tc>
          <w:tcPr>
            <w:tcW w:w="4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Nine Months Ended</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4"/>
              </w:rPr>
              <w:t>Nine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9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distribution channel</w:t>
            </w:r>
          </w:p>
        </w:tc>
        <w:tc>
          <w:tcPr>
            <w:tcW w:w="2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Digital online</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1,268,140</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60%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829,564</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62%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Physical retail and other</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861,247</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40%</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513,054</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2,129,387</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1,342,618</w:t>
            </w:r>
          </w:p>
        </w:tc>
        <w:tc>
          <w:tcPr>
            <w:tcW w:w="280" w:type="dxa"/>
            <w:vAlign w:val="bottom"/>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distribution channel</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Digital online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1,382,717</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57%</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1,016,373</w:t>
            </w:r>
          </w:p>
        </w:tc>
        <w:tc>
          <w:tcPr>
            <w:tcW w:w="28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Physical retail and other</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1,057,597</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43%</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562,861</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2,440,314</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1,579,234</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5"/>
        </w:trPr>
        <w:tc>
          <w:tcPr>
            <w:tcW w:w="4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Nine Months Ended</w:t>
            </w: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4"/>
              </w:rPr>
              <w:t>Nine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9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December 31, 2018</w:t>
            </w:r>
          </w:p>
        </w:tc>
        <w:tc>
          <w:tcPr>
            <w:tcW w:w="2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00" w:type="dxa"/>
            <w:vAlign w:val="bottom"/>
            <w:gridSpan w:val="4"/>
          </w:tcPr>
          <w:p>
            <w:pPr>
              <w:jc w:val="center"/>
              <w:ind w:right="330"/>
              <w:spacing w:after="0"/>
              <w:rPr>
                <w:sz w:val="20"/>
                <w:szCs w:val="20"/>
                <w:color w:val="auto"/>
              </w:rPr>
            </w:pPr>
            <w:r>
              <w:rPr>
                <w:rFonts w:ascii="Arial" w:cs="Arial" w:eastAsia="Arial" w:hAnsi="Arial"/>
                <w:sz w:val="14"/>
                <w:szCs w:val="14"/>
                <w:b w:val="1"/>
                <w:bCs w:val="1"/>
                <w:color w:val="auto"/>
                <w:w w:val="91"/>
              </w:rPr>
              <w:t>December 31, 2017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jc w:val="right"/>
              <w:ind w:right="720"/>
              <w:spacing w:after="0" w:line="142" w:lineRule="exact"/>
              <w:rPr>
                <w:sz w:val="20"/>
                <w:szCs w:val="20"/>
                <w:color w:val="auto"/>
              </w:rPr>
            </w:pPr>
            <w:r>
              <w:rPr>
                <w:rFonts w:ascii="Arial" w:cs="Arial" w:eastAsia="Arial" w:hAnsi="Arial"/>
                <w:sz w:val="14"/>
                <w:szCs w:val="14"/>
                <w:b w:val="1"/>
                <w:bCs w:val="1"/>
                <w:color w:val="auto"/>
              </w:rPr>
              <w:t>Amount</w:t>
            </w:r>
          </w:p>
        </w:tc>
        <w:tc>
          <w:tcPr>
            <w:tcW w:w="980" w:type="dxa"/>
            <w:vAlign w:val="bottom"/>
            <w:tcBorders>
              <w:top w:val="single" w:sz="8" w:color="auto"/>
            </w:tcBorders>
          </w:tcPr>
          <w:p>
            <w:pPr>
              <w:ind w:left="300"/>
              <w:spacing w:after="0" w:line="142" w:lineRule="exact"/>
              <w:rPr>
                <w:sz w:val="20"/>
                <w:szCs w:val="20"/>
                <w:color w:val="auto"/>
              </w:rPr>
            </w:pPr>
            <w:r>
              <w:rPr>
                <w:rFonts w:ascii="Arial" w:cs="Arial" w:eastAsia="Arial" w:hAnsi="Arial"/>
                <w:sz w:val="14"/>
                <w:szCs w:val="14"/>
                <w:b w:val="1"/>
                <w:bCs w:val="1"/>
                <w:color w:val="auto"/>
                <w:w w:val="98"/>
              </w:rPr>
              <w:t>% of Total</w:t>
            </w:r>
          </w:p>
        </w:tc>
        <w:tc>
          <w:tcPr>
            <w:tcW w:w="28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8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Amount</w:t>
            </w:r>
          </w:p>
        </w:tc>
        <w:tc>
          <w:tcPr>
            <w:tcW w:w="1360" w:type="dxa"/>
            <w:vAlign w:val="bottom"/>
            <w:tcBorders>
              <w:top w:val="single" w:sz="8" w:color="auto"/>
            </w:tcBorders>
          </w:tcPr>
          <w:p>
            <w:pPr>
              <w:jc w:val="right"/>
              <w:ind w:right="273"/>
              <w:spacing w:after="0" w:line="142" w:lineRule="exact"/>
              <w:rPr>
                <w:sz w:val="20"/>
                <w:szCs w:val="20"/>
                <w:color w:val="auto"/>
              </w:rPr>
            </w:pPr>
            <w:r>
              <w:rPr>
                <w:rFonts w:ascii="Arial" w:cs="Arial" w:eastAsia="Arial" w:hAnsi="Arial"/>
                <w:sz w:val="14"/>
                <w:szCs w:val="14"/>
                <w:b w:val="1"/>
                <w:bCs w:val="1"/>
                <w:color w:val="auto"/>
              </w:rPr>
              <w:t>% of Total</w:t>
            </w: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4980" w:type="dxa"/>
            <w:vAlign w:val="bottom"/>
            <w:tcBorders>
              <w:top w:val="single" w:sz="8" w:color="CCEEFF"/>
            </w:tcBorders>
            <w:shd w:val="clear" w:color="auto" w:fill="CCEEFF"/>
          </w:tcPr>
          <w:p>
            <w:pPr>
              <w:ind w:left="180"/>
              <w:spacing w:after="0" w:line="196" w:lineRule="exact"/>
              <w:rPr>
                <w:sz w:val="20"/>
                <w:szCs w:val="20"/>
                <w:color w:val="auto"/>
              </w:rPr>
            </w:pPr>
            <w:r>
              <w:rPr>
                <w:rFonts w:ascii="Arial" w:cs="Arial" w:eastAsia="Arial" w:hAnsi="Arial"/>
                <w:sz w:val="18"/>
                <w:szCs w:val="18"/>
                <w:b w:val="1"/>
                <w:bCs w:val="1"/>
                <w:color w:val="auto"/>
              </w:rPr>
              <w:t>Net revenue by Platform Mix</w:t>
            </w:r>
          </w:p>
        </w:tc>
        <w:tc>
          <w:tcPr>
            <w:tcW w:w="2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3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13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Console</w:t>
            </w: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1,811,429</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85%</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1,099,843</w:t>
            </w:r>
          </w:p>
        </w:tc>
        <w:tc>
          <w:tcPr>
            <w:tcW w:w="280" w:type="dxa"/>
            <w:vAlign w:val="bottom"/>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PC and other</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317,958</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15%</w:t>
            </w:r>
          </w:p>
        </w:tc>
        <w:tc>
          <w:tcPr>
            <w:tcW w:w="2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242,775</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vMerge w:val="restart"/>
          </w:tcPr>
          <w:p>
            <w:pPr>
              <w:spacing w:after="0"/>
              <w:rPr>
                <w:sz w:val="20"/>
                <w:szCs w:val="20"/>
                <w:color w:val="auto"/>
              </w:rPr>
            </w:pPr>
            <w:r>
              <w:rPr>
                <w:rFonts w:ascii="Arial" w:cs="Arial" w:eastAsia="Arial" w:hAnsi="Arial"/>
                <w:sz w:val="18"/>
                <w:szCs w:val="18"/>
                <w:color w:val="auto"/>
              </w:rPr>
              <w:t>Total net revenue</w:t>
            </w:r>
          </w:p>
        </w:tc>
        <w:tc>
          <w:tcPr>
            <w:tcW w:w="26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00" w:type="dxa"/>
            <w:vAlign w:val="bottom"/>
            <w:vMerge w:val="restart"/>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980" w:type="dxa"/>
            <w:vAlign w:val="bottom"/>
            <w:vMerge w:val="continue"/>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2,129,387</w:t>
            </w:r>
          </w:p>
        </w:tc>
        <w:tc>
          <w:tcPr>
            <w:tcW w:w="300" w:type="dxa"/>
            <w:vAlign w:val="bottom"/>
            <w:vMerge w:val="continue"/>
          </w:tcPr>
          <w:p>
            <w:pPr>
              <w:spacing w:after="0"/>
              <w:rPr>
                <w:sz w:val="18"/>
                <w:szCs w:val="18"/>
                <w:color w:val="auto"/>
              </w:rPr>
            </w:pP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w w:val="95"/>
              </w:rPr>
              <w:t>100%</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1,342,618</w:t>
            </w:r>
          </w:p>
        </w:tc>
        <w:tc>
          <w:tcPr>
            <w:tcW w:w="280" w:type="dxa"/>
            <w:vAlign w:val="bottom"/>
          </w:tcPr>
          <w:p>
            <w:pPr>
              <w:spacing w:after="0"/>
              <w:rPr>
                <w:sz w:val="18"/>
                <w:szCs w:val="18"/>
                <w:color w:val="auto"/>
              </w:rPr>
            </w:pP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80"/>
              <w:spacing w:after="0"/>
              <w:rPr>
                <w:sz w:val="20"/>
                <w:szCs w:val="20"/>
                <w:color w:val="auto"/>
              </w:rPr>
            </w:pPr>
            <w:r>
              <w:rPr>
                <w:rFonts w:ascii="Arial" w:cs="Arial" w:eastAsia="Arial" w:hAnsi="Arial"/>
                <w:sz w:val="18"/>
                <w:szCs w:val="18"/>
                <w:b w:val="1"/>
                <w:bCs w:val="1"/>
                <w:color w:val="auto"/>
              </w:rPr>
              <w:t>Net bookings by platform mix</w:t>
            </w: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Console</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2,132,285</w:t>
            </w:r>
          </w:p>
        </w:tc>
        <w:tc>
          <w:tcPr>
            <w:tcW w:w="9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87%</w:t>
            </w:r>
          </w:p>
        </w:tc>
        <w:tc>
          <w:tcPr>
            <w:tcW w:w="26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1,298,258</w:t>
            </w:r>
          </w:p>
        </w:tc>
        <w:tc>
          <w:tcPr>
            <w:tcW w:w="28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360"/>
              <w:spacing w:after="0"/>
              <w:rPr>
                <w:sz w:val="20"/>
                <w:szCs w:val="20"/>
                <w:color w:val="auto"/>
              </w:rPr>
            </w:pPr>
            <w:r>
              <w:rPr>
                <w:rFonts w:ascii="Arial" w:cs="Arial" w:eastAsia="Arial" w:hAnsi="Arial"/>
                <w:sz w:val="18"/>
                <w:szCs w:val="18"/>
                <w:color w:val="auto"/>
              </w:rPr>
              <w:t>PC and other</w:t>
            </w:r>
          </w:p>
        </w:tc>
        <w:tc>
          <w:tcPr>
            <w:tcW w:w="260" w:type="dxa"/>
            <w:vAlign w:val="bottom"/>
          </w:tcPr>
          <w:p>
            <w:pPr>
              <w:spacing w:after="0"/>
              <w:rPr>
                <w:sz w:val="18"/>
                <w:szCs w:val="18"/>
                <w:color w:val="auto"/>
              </w:rPr>
            </w:pPr>
          </w:p>
        </w:tc>
        <w:tc>
          <w:tcPr>
            <w:tcW w:w="138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308,029</w:t>
            </w:r>
          </w:p>
        </w:tc>
        <w:tc>
          <w:tcPr>
            <w:tcW w:w="980" w:type="dxa"/>
            <w:vAlign w:val="bottom"/>
          </w:tcPr>
          <w:p>
            <w:pPr>
              <w:spacing w:after="0"/>
              <w:rPr>
                <w:sz w:val="18"/>
                <w:szCs w:val="18"/>
                <w:color w:val="auto"/>
              </w:rPr>
            </w:pPr>
          </w:p>
        </w:tc>
        <w:tc>
          <w:tcPr>
            <w:tcW w:w="660" w:type="dxa"/>
            <w:vAlign w:val="bottom"/>
            <w:gridSpan w:val="2"/>
          </w:tcPr>
          <w:p>
            <w:pPr>
              <w:jc w:val="right"/>
              <w:ind w:right="110"/>
              <w:spacing w:after="0"/>
              <w:rPr>
                <w:sz w:val="20"/>
                <w:szCs w:val="20"/>
                <w:color w:val="auto"/>
              </w:rPr>
            </w:pPr>
            <w:r>
              <w:rPr>
                <w:rFonts w:ascii="Arial" w:cs="Arial" w:eastAsia="Arial" w:hAnsi="Arial"/>
                <w:sz w:val="18"/>
                <w:szCs w:val="18"/>
                <w:b w:val="1"/>
                <w:bCs w:val="1"/>
                <w:color w:val="auto"/>
              </w:rPr>
              <w:t>13%</w:t>
            </w:r>
          </w:p>
        </w:tc>
        <w:tc>
          <w:tcPr>
            <w:tcW w:w="260" w:type="dxa"/>
            <w:vAlign w:val="bottom"/>
          </w:tcPr>
          <w:p>
            <w:pPr>
              <w:spacing w:after="0"/>
              <w:rPr>
                <w:sz w:val="18"/>
                <w:szCs w:val="18"/>
                <w:color w:val="auto"/>
              </w:rPr>
            </w:pPr>
          </w:p>
        </w:tc>
        <w:tc>
          <w:tcPr>
            <w:tcW w:w="1380" w:type="dxa"/>
            <w:vAlign w:val="bottom"/>
            <w:gridSpan w:val="2"/>
          </w:tcPr>
          <w:p>
            <w:pPr>
              <w:jc w:val="right"/>
              <w:ind w:right="280"/>
              <w:spacing w:after="0"/>
              <w:rPr>
                <w:sz w:val="20"/>
                <w:szCs w:val="20"/>
                <w:color w:val="auto"/>
              </w:rPr>
            </w:pPr>
            <w:r>
              <w:rPr>
                <w:rFonts w:ascii="Arial" w:cs="Arial" w:eastAsia="Arial" w:hAnsi="Arial"/>
                <w:sz w:val="18"/>
                <w:szCs w:val="18"/>
                <w:color w:val="auto"/>
              </w:rPr>
              <w:t>280,976</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b w:val="1"/>
                <w:bCs w:val="1"/>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2,440,314</w:t>
            </w:r>
          </w:p>
        </w:tc>
        <w:tc>
          <w:tcPr>
            <w:tcW w:w="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6"/>
              </w:rPr>
              <w:t>100</w:t>
            </w:r>
          </w:p>
        </w:tc>
        <w:tc>
          <w:tcPr>
            <w:tcW w:w="380" w:type="dxa"/>
            <w:vAlign w:val="bottom"/>
            <w:tcBorders>
              <w:top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260" w:type="dxa"/>
            <w:vAlign w:val="bottom"/>
            <w:tcBorders>
              <w:top w:val="single" w:sz="8" w:color="auto"/>
              <w:bottom w:val="single" w:sz="8" w:color="auto"/>
            </w:tcBorders>
            <w:shd w:val="clear" w:color="auto" w:fill="CCEEFF"/>
          </w:tcPr>
          <w:p>
            <w:pPr>
              <w:jc w:val="right"/>
              <w:ind w:right="105"/>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1,579,234</w:t>
            </w:r>
          </w:p>
        </w:tc>
        <w:tc>
          <w:tcPr>
            <w:tcW w:w="28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1"/>
        </w:trPr>
        <w:tc>
          <w:tcPr>
            <w:tcW w:w="49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98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3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10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136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6" w:name="page17"/>
    <w:bookmarkEnd w:id="16"/>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ADDITIONAL DATA</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1"/>
              </w:rPr>
              <w:t>Cost of goods sold-</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1"/>
              </w:rPr>
              <w:t>Cost of goods sold-</w:t>
            </w:r>
          </w:p>
        </w:tc>
        <w:tc>
          <w:tcPr>
            <w:tcW w:w="148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Software development</w:t>
            </w:r>
          </w:p>
        </w:tc>
        <w:tc>
          <w:tcPr>
            <w:tcW w:w="6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Selling and</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Three Months Ended December 31, 2018</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5"/>
              </w:rPr>
              <w:t>Net revenue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Internal royalties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3"/>
              </w:rPr>
              <w:t>Product costs</w:t>
            </w:r>
          </w:p>
        </w:tc>
        <w:tc>
          <w:tcPr>
            <w:tcW w:w="100" w:type="dxa"/>
            <w:vAlign w:val="bottom"/>
          </w:tcPr>
          <w:p>
            <w:pPr>
              <w:spacing w:after="0"/>
              <w:rPr>
                <w:sz w:val="13"/>
                <w:szCs w:val="13"/>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3"/>
              </w:rPr>
              <w:t>costs and royalties</w:t>
            </w:r>
          </w:p>
        </w:tc>
        <w:tc>
          <w:tcPr>
            <w:tcW w:w="60" w:type="dxa"/>
            <w:vAlign w:val="bottom"/>
          </w:tcPr>
          <w:p>
            <w:pPr>
              <w:spacing w:after="0"/>
              <w:rPr>
                <w:sz w:val="13"/>
                <w:szCs w:val="13"/>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2"/>
              </w:rPr>
              <w:t>Licenses</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marketing</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1,248,738</w:t>
            </w: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401,382</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183,208</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265,166</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48,728</w:t>
            </w:r>
          </w:p>
        </w:tc>
        <w:tc>
          <w:tcPr>
            <w:tcW w:w="2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161,322</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319,829</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43,958</w:t>
            </w:r>
          </w:p>
        </w:tc>
        <w:tc>
          <w:tcPr>
            <w:tcW w:w="100" w:type="dxa"/>
            <w:vAlign w:val="bottom"/>
          </w:tcPr>
          <w:p>
            <w:pPr>
              <w:spacing w:after="0"/>
              <w:rPr>
                <w:sz w:val="11"/>
                <w:szCs w:val="11"/>
                <w:color w:val="auto"/>
              </w:rPr>
            </w:pPr>
          </w:p>
        </w:tc>
        <w:tc>
          <w:tcPr>
            <w:tcW w:w="1380" w:type="dxa"/>
            <w:vAlign w:val="bottom"/>
            <w:gridSpan w:val="2"/>
          </w:tcPr>
          <w:p>
            <w:pPr>
              <w:jc w:val="right"/>
              <w:ind w:right="200"/>
              <w:spacing w:after="0" w:line="135" w:lineRule="exact"/>
              <w:rPr>
                <w:sz w:val="20"/>
                <w:szCs w:val="20"/>
                <w:color w:val="auto"/>
              </w:rPr>
            </w:pPr>
            <w:r>
              <w:rPr>
                <w:rFonts w:ascii="Arial" w:cs="Arial" w:eastAsia="Arial" w:hAnsi="Arial"/>
                <w:sz w:val="13"/>
                <w:szCs w:val="13"/>
                <w:color w:val="auto"/>
              </w:rPr>
              <w:t>42,914</w:t>
            </w: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139</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(96,082)</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8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(6,673)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3060" w:type="dxa"/>
            <w:vAlign w:val="bottom"/>
          </w:tcPr>
          <w:p>
            <w:pPr>
              <w:ind w:left="160"/>
              <w:spacing w:after="0"/>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3"/>
                <w:szCs w:val="13"/>
                <w:color w:val="auto"/>
              </w:rPr>
              <w:t>(3,630)</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General and</w:t>
            </w:r>
          </w:p>
        </w:tc>
        <w:tc>
          <w:tcPr>
            <w:tcW w:w="60" w:type="dxa"/>
            <w:vAlign w:val="bottom"/>
          </w:tcPr>
          <w:p>
            <w:pPr>
              <w:spacing w:after="0"/>
              <w:rPr>
                <w:sz w:val="19"/>
                <w:szCs w:val="19"/>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6"/>
              </w:rPr>
              <w:t>Research and</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Depreciation and</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Three Months Ended December 31, 2018</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8"/>
              </w:rPr>
              <w:t>administrative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7"/>
              </w:rPr>
              <w:t>development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amortization</w:t>
            </w:r>
          </w:p>
        </w:tc>
        <w:tc>
          <w:tcPr>
            <w:tcW w:w="14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4"/>
              </w:rPr>
              <w:t>Business reorganization</w:t>
            </w:r>
          </w:p>
        </w:tc>
        <w:tc>
          <w:tcPr>
            <w:tcW w:w="60" w:type="dxa"/>
            <w:vAlign w:val="bottom"/>
          </w:tcPr>
          <w:p>
            <w:pPr>
              <w:spacing w:after="0"/>
              <w:rPr>
                <w:sz w:val="13"/>
                <w:szCs w:val="13"/>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1"/>
              </w:rPr>
              <w:t>net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70,638</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62,305</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10,140</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(5,930)</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8,071</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(313)</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(13,790)</w:t>
            </w:r>
          </w:p>
        </w:tc>
        <w:tc>
          <w:tcPr>
            <w:tcW w:w="6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(7,123)</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(1,585)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(125)</w:t>
            </w: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Impact of business reorganization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5,930</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1"/>
              </w:rPr>
              <w:t>Cost of goods sold-</w:t>
            </w: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1"/>
              </w:rPr>
              <w:t>Cost of goods sold-</w:t>
            </w:r>
          </w:p>
        </w:tc>
        <w:tc>
          <w:tcPr>
            <w:tcW w:w="148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Software development</w:t>
            </w:r>
          </w:p>
        </w:tc>
        <w:tc>
          <w:tcPr>
            <w:tcW w:w="6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Selling and</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Three Months Ended December 31, 2017</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5"/>
              </w:rPr>
              <w:t>Net revenue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Internal royalties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3"/>
              </w:rPr>
              <w:t>Product costs</w:t>
            </w:r>
          </w:p>
        </w:tc>
        <w:tc>
          <w:tcPr>
            <w:tcW w:w="100" w:type="dxa"/>
            <w:vAlign w:val="bottom"/>
          </w:tcPr>
          <w:p>
            <w:pPr>
              <w:spacing w:after="0"/>
              <w:rPr>
                <w:sz w:val="13"/>
                <w:szCs w:val="13"/>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3"/>
              </w:rPr>
              <w:t>costs and royalties</w:t>
            </w:r>
          </w:p>
        </w:tc>
        <w:tc>
          <w:tcPr>
            <w:tcW w:w="60" w:type="dxa"/>
            <w:vAlign w:val="bottom"/>
          </w:tcPr>
          <w:p>
            <w:pPr>
              <w:spacing w:after="0"/>
              <w:rPr>
                <w:sz w:val="13"/>
                <w:szCs w:val="13"/>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2"/>
              </w:rPr>
              <w:t>Licenses</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marketing</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480,840</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112,996</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69,492</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54,008</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31,487</w:t>
            </w:r>
          </w:p>
        </w:tc>
        <w:tc>
          <w:tcPr>
            <w:tcW w:w="2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79,513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173,099</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20,576</w:t>
            </w:r>
          </w:p>
        </w:tc>
        <w:tc>
          <w:tcPr>
            <w:tcW w:w="100" w:type="dxa"/>
            <w:vAlign w:val="bottom"/>
          </w:tcPr>
          <w:p>
            <w:pPr>
              <w:spacing w:after="0"/>
              <w:rPr>
                <w:sz w:val="11"/>
                <w:szCs w:val="11"/>
                <w:color w:val="auto"/>
              </w:rPr>
            </w:pPr>
          </w:p>
        </w:tc>
        <w:tc>
          <w:tcPr>
            <w:tcW w:w="1380" w:type="dxa"/>
            <w:vAlign w:val="bottom"/>
            <w:gridSpan w:val="2"/>
          </w:tcPr>
          <w:p>
            <w:pPr>
              <w:jc w:val="right"/>
              <w:ind w:right="200"/>
              <w:spacing w:after="0" w:line="135" w:lineRule="exact"/>
              <w:rPr>
                <w:sz w:val="20"/>
                <w:szCs w:val="20"/>
                <w:color w:val="auto"/>
              </w:rPr>
            </w:pPr>
            <w:r>
              <w:rPr>
                <w:rFonts w:ascii="Arial" w:cs="Arial" w:eastAsia="Arial" w:hAnsi="Arial"/>
                <w:sz w:val="13"/>
                <w:szCs w:val="13"/>
                <w:color w:val="auto"/>
              </w:rPr>
              <w:t>108</w:t>
            </w: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16,963</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8,262</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8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(3,014)</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3060" w:type="dxa"/>
            <w:vAlign w:val="bottom"/>
          </w:tcPr>
          <w:p>
            <w:pPr>
              <w:ind w:left="160"/>
              <w:spacing w:after="0"/>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3"/>
                <w:szCs w:val="13"/>
                <w:color w:val="auto"/>
              </w:rPr>
              <w:t>(4,912)</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3"/>
                <w:szCs w:val="13"/>
                <w:color w:val="auto"/>
              </w:rPr>
              <w:t>(2,477)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General and</w:t>
            </w:r>
          </w:p>
        </w:tc>
        <w:tc>
          <w:tcPr>
            <w:tcW w:w="60" w:type="dxa"/>
            <w:vAlign w:val="bottom"/>
          </w:tcPr>
          <w:p>
            <w:pPr>
              <w:spacing w:after="0"/>
              <w:rPr>
                <w:sz w:val="19"/>
                <w:szCs w:val="19"/>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6"/>
              </w:rPr>
              <w:t>Research and</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Depreciation and</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Three Months Ended December 31, 2017</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8"/>
              </w:rPr>
              <w:t>administrative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7"/>
              </w:rPr>
              <w:t>development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amortization</w:t>
            </w:r>
          </w:p>
        </w:tc>
        <w:tc>
          <w:tcPr>
            <w:tcW w:w="14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4"/>
              </w:rPr>
              <w:t>Business reorganization</w:t>
            </w:r>
          </w:p>
        </w:tc>
        <w:tc>
          <w:tcPr>
            <w:tcW w:w="60" w:type="dxa"/>
            <w:vAlign w:val="bottom"/>
          </w:tcPr>
          <w:p>
            <w:pPr>
              <w:spacing w:after="0"/>
              <w:rPr>
                <w:sz w:val="13"/>
                <w:szCs w:val="13"/>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1"/>
              </w:rPr>
              <w:t>net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65,951</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49,977</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7,864</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700</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3,374</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(16,051)</w:t>
            </w:r>
          </w:p>
        </w:tc>
        <w:tc>
          <w:tcPr>
            <w:tcW w:w="60" w:type="dxa"/>
            <w:vAlign w:val="bottom"/>
          </w:tcPr>
          <w:p>
            <w:pPr>
              <w:spacing w:after="0"/>
              <w:rPr>
                <w:sz w:val="11"/>
                <w:szCs w:val="11"/>
                <w:color w:val="auto"/>
              </w:rPr>
            </w:pPr>
          </w:p>
        </w:tc>
        <w:tc>
          <w:tcPr>
            <w:tcW w:w="12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(2,223)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(18)</w:t>
            </w:r>
          </w:p>
        </w:tc>
        <w:tc>
          <w:tcPr>
            <w:tcW w:w="6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(1,635)</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(128)</w:t>
            </w: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Non-cash amounts related to convertible notes</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795</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Impact of business reorganization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(700)</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8"/>
        </w:trPr>
        <w:tc>
          <w:tcPr>
            <w:tcW w:w="20" w:type="dxa"/>
            <w:vAlign w:val="bottom"/>
            <w:tcBorders>
              <w:bottom w:val="single" w:sz="8" w:color="808080"/>
            </w:tcBorders>
          </w:tcPr>
          <w:p>
            <w:pPr>
              <w:spacing w:after="0"/>
              <w:rPr>
                <w:sz w:val="24"/>
                <w:szCs w:val="24"/>
                <w:color w:val="auto"/>
              </w:rPr>
            </w:pPr>
          </w:p>
        </w:tc>
        <w:tc>
          <w:tcPr>
            <w:tcW w:w="306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2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6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18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98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7" w:name="page18"/>
    <w:bookmarkEnd w:id="17"/>
    <w:p>
      <w:pPr>
        <w:ind w:left="2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ADDITIONAL DATA</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1"/>
              </w:rPr>
              <w:t>Cost of goods sold-</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280"/>
              <w:spacing w:after="0" w:line="135" w:lineRule="exact"/>
              <w:rPr>
                <w:sz w:val="20"/>
                <w:szCs w:val="20"/>
                <w:color w:val="auto"/>
              </w:rPr>
            </w:pPr>
            <w:r>
              <w:rPr>
                <w:rFonts w:ascii="Arial" w:cs="Arial" w:eastAsia="Arial" w:hAnsi="Arial"/>
                <w:sz w:val="13"/>
                <w:szCs w:val="13"/>
                <w:b w:val="1"/>
                <w:bCs w:val="1"/>
                <w:color w:val="auto"/>
                <w:w w:val="80"/>
              </w:rPr>
              <w:t>Cost of goods sold-</w:t>
            </w:r>
          </w:p>
        </w:tc>
        <w:tc>
          <w:tcPr>
            <w:tcW w:w="148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Software development</w:t>
            </w:r>
          </w:p>
        </w:tc>
        <w:tc>
          <w:tcPr>
            <w:tcW w:w="6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Selling and</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Nine Months Ended December 31, 2018</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5"/>
              </w:rPr>
              <w:t>Net revenue</w:t>
            </w:r>
          </w:p>
        </w:tc>
        <w:tc>
          <w:tcPr>
            <w:tcW w:w="60" w:type="dxa"/>
            <w:vAlign w:val="bottom"/>
          </w:tcPr>
          <w:p>
            <w:pPr>
              <w:spacing w:after="0"/>
              <w:rPr>
                <w:sz w:val="13"/>
                <w:szCs w:val="13"/>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88"/>
              </w:rPr>
              <w:t>Internal royalties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3"/>
              </w:rPr>
              <w:t>Product costs</w:t>
            </w:r>
          </w:p>
        </w:tc>
        <w:tc>
          <w:tcPr>
            <w:tcW w:w="100" w:type="dxa"/>
            <w:vAlign w:val="bottom"/>
          </w:tcPr>
          <w:p>
            <w:pPr>
              <w:spacing w:after="0"/>
              <w:rPr>
                <w:sz w:val="13"/>
                <w:szCs w:val="13"/>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3"/>
              </w:rPr>
              <w:t>costs and royalties</w:t>
            </w:r>
          </w:p>
        </w:tc>
        <w:tc>
          <w:tcPr>
            <w:tcW w:w="60" w:type="dxa"/>
            <w:vAlign w:val="bottom"/>
          </w:tcPr>
          <w:p>
            <w:pPr>
              <w:spacing w:after="0"/>
              <w:rPr>
                <w:sz w:val="13"/>
                <w:szCs w:val="13"/>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2"/>
              </w:rPr>
              <w:t>Licenses</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marketing</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2,129,387</w:t>
            </w: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536,662</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277,234</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337,603</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113,231</w:t>
            </w:r>
          </w:p>
        </w:tc>
        <w:tc>
          <w:tcPr>
            <w:tcW w:w="2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313,793</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310,927</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37,087</w:t>
            </w:r>
          </w:p>
        </w:tc>
        <w:tc>
          <w:tcPr>
            <w:tcW w:w="100" w:type="dxa"/>
            <w:vAlign w:val="bottom"/>
          </w:tcPr>
          <w:p>
            <w:pPr>
              <w:spacing w:after="0"/>
              <w:rPr>
                <w:sz w:val="11"/>
                <w:szCs w:val="11"/>
                <w:color w:val="auto"/>
              </w:rPr>
            </w:pPr>
          </w:p>
        </w:tc>
        <w:tc>
          <w:tcPr>
            <w:tcW w:w="1380" w:type="dxa"/>
            <w:vAlign w:val="bottom"/>
            <w:gridSpan w:val="2"/>
          </w:tcPr>
          <w:p>
            <w:pPr>
              <w:jc w:val="right"/>
              <w:ind w:right="200"/>
              <w:spacing w:after="0" w:line="135" w:lineRule="exact"/>
              <w:rPr>
                <w:sz w:val="20"/>
                <w:szCs w:val="20"/>
                <w:color w:val="auto"/>
              </w:rPr>
            </w:pPr>
            <w:r>
              <w:rPr>
                <w:rFonts w:ascii="Arial" w:cs="Arial" w:eastAsia="Arial" w:hAnsi="Arial"/>
                <w:sz w:val="13"/>
                <w:szCs w:val="13"/>
                <w:color w:val="auto"/>
              </w:rPr>
              <w:t>46,396</w:t>
            </w: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735</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(107,740)</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8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(16,321)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3060" w:type="dxa"/>
            <w:vAlign w:val="bottom"/>
          </w:tcPr>
          <w:p>
            <w:pPr>
              <w:ind w:left="160"/>
              <w:spacing w:after="0"/>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3"/>
                <w:szCs w:val="13"/>
                <w:color w:val="auto"/>
              </w:rPr>
              <w:t>(12,371)</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General and</w:t>
            </w:r>
          </w:p>
        </w:tc>
        <w:tc>
          <w:tcPr>
            <w:tcW w:w="60" w:type="dxa"/>
            <w:vAlign w:val="bottom"/>
          </w:tcPr>
          <w:p>
            <w:pPr>
              <w:spacing w:after="0"/>
              <w:rPr>
                <w:sz w:val="19"/>
                <w:szCs w:val="19"/>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6"/>
              </w:rPr>
              <w:t>Research and</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7"/>
              </w:rPr>
              <w:t>Depreciation and</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Nine Months Ended December 31, 2018</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8"/>
              </w:rPr>
              <w:t>administrative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7"/>
              </w:rPr>
              <w:t>development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amortization</w:t>
            </w:r>
          </w:p>
        </w:tc>
        <w:tc>
          <w:tcPr>
            <w:tcW w:w="14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4"/>
              </w:rPr>
              <w:t>Business reorganization</w:t>
            </w:r>
          </w:p>
        </w:tc>
        <w:tc>
          <w:tcPr>
            <w:tcW w:w="60" w:type="dxa"/>
            <w:vAlign w:val="bottom"/>
          </w:tcPr>
          <w:p>
            <w:pPr>
              <w:spacing w:after="0"/>
              <w:rPr>
                <w:sz w:val="13"/>
                <w:szCs w:val="13"/>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1"/>
              </w:rPr>
              <w:t>net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205,693</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173,582</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29,151</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(6,172)</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19,647</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jc w:val="right"/>
              <w:ind w:right="100"/>
              <w:spacing w:after="0" w:line="135" w:lineRule="exact"/>
              <w:rPr>
                <w:sz w:val="20"/>
                <w:szCs w:val="20"/>
                <w:color w:val="auto"/>
              </w:rPr>
            </w:pPr>
            <w:r>
              <w:rPr>
                <w:rFonts w:ascii="Arial" w:cs="Arial" w:eastAsia="Arial" w:hAnsi="Arial"/>
                <w:sz w:val="13"/>
                <w:szCs w:val="13"/>
                <w:color w:val="auto"/>
              </w:rPr>
              <w:t>(911)</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(38,234)</w:t>
            </w:r>
          </w:p>
        </w:tc>
        <w:tc>
          <w:tcPr>
            <w:tcW w:w="6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(16,314)</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Non-cash amounts related to convertible notes</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91</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Acquisition related expenses</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(288)</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(4,859)</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(382)</w:t>
            </w: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Impact of business reorganization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6,172</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1"/>
              </w:rPr>
              <w:t>Cost of goods sold-</w:t>
            </w: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1"/>
              </w:rPr>
              <w:t>Cost of goods sold-</w:t>
            </w:r>
          </w:p>
        </w:tc>
        <w:tc>
          <w:tcPr>
            <w:tcW w:w="1480" w:type="dxa"/>
            <w:vAlign w:val="bottom"/>
            <w:gridSpan w:val="3"/>
          </w:tcPr>
          <w:p>
            <w:pPr>
              <w:jc w:val="center"/>
              <w:ind w:right="200"/>
              <w:spacing w:after="0" w:line="135" w:lineRule="exact"/>
              <w:rPr>
                <w:sz w:val="20"/>
                <w:szCs w:val="20"/>
                <w:color w:val="auto"/>
              </w:rPr>
            </w:pPr>
            <w:r>
              <w:rPr>
                <w:rFonts w:ascii="Arial" w:cs="Arial" w:eastAsia="Arial" w:hAnsi="Arial"/>
                <w:sz w:val="13"/>
                <w:szCs w:val="13"/>
                <w:b w:val="1"/>
                <w:bCs w:val="1"/>
                <w:color w:val="auto"/>
                <w:w w:val="86"/>
              </w:rPr>
              <w:t>Software development</w:t>
            </w:r>
          </w:p>
        </w:tc>
        <w:tc>
          <w:tcPr>
            <w:tcW w:w="6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gridSpan w:val="2"/>
          </w:tcPr>
          <w:p>
            <w:pPr>
              <w:jc w:val="center"/>
              <w:ind w:right="280"/>
              <w:spacing w:after="0" w:line="135" w:lineRule="exact"/>
              <w:rPr>
                <w:sz w:val="20"/>
                <w:szCs w:val="20"/>
                <w:color w:val="auto"/>
              </w:rPr>
            </w:pPr>
            <w:r>
              <w:rPr>
                <w:rFonts w:ascii="Arial" w:cs="Arial" w:eastAsia="Arial" w:hAnsi="Arial"/>
                <w:sz w:val="13"/>
                <w:szCs w:val="13"/>
                <w:b w:val="1"/>
                <w:bCs w:val="1"/>
                <w:color w:val="auto"/>
                <w:w w:val="86"/>
              </w:rPr>
              <w:t>Selling and</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Nine Months Ended December 31, 2017</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6"/>
              </w:rPr>
              <w:t>Net Revenue</w:t>
            </w:r>
          </w:p>
        </w:tc>
        <w:tc>
          <w:tcPr>
            <w:tcW w:w="60" w:type="dxa"/>
            <w:vAlign w:val="bottom"/>
          </w:tcPr>
          <w:p>
            <w:pPr>
              <w:spacing w:after="0"/>
              <w:rPr>
                <w:sz w:val="13"/>
                <w:szCs w:val="13"/>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88"/>
              </w:rPr>
              <w:t>Internal royalties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3"/>
              </w:rPr>
              <w:t>Product costs</w:t>
            </w:r>
          </w:p>
        </w:tc>
        <w:tc>
          <w:tcPr>
            <w:tcW w:w="100" w:type="dxa"/>
            <w:vAlign w:val="bottom"/>
          </w:tcPr>
          <w:p>
            <w:pPr>
              <w:spacing w:after="0"/>
              <w:rPr>
                <w:sz w:val="13"/>
                <w:szCs w:val="13"/>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3"/>
              </w:rPr>
              <w:t>costs and royalties</w:t>
            </w:r>
          </w:p>
        </w:tc>
        <w:tc>
          <w:tcPr>
            <w:tcW w:w="60" w:type="dxa"/>
            <w:vAlign w:val="bottom"/>
          </w:tcPr>
          <w:p>
            <w:pPr>
              <w:spacing w:after="0"/>
              <w:rPr>
                <w:sz w:val="13"/>
                <w:szCs w:val="13"/>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2"/>
              </w:rPr>
              <w:t>Licenses</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0"/>
              </w:rPr>
              <w:t>marketing</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1,342,618</w:t>
            </w: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294,749</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156,124</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164,419</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93,808</w:t>
            </w:r>
          </w:p>
        </w:tc>
        <w:tc>
          <w:tcPr>
            <w:tcW w:w="24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208,641</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w w:val="92"/>
              </w:rPr>
              <w:t>Net effect from deferral and related cost of goods sold</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236,616</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19,308</w:t>
            </w:r>
          </w:p>
        </w:tc>
        <w:tc>
          <w:tcPr>
            <w:tcW w:w="100" w:type="dxa"/>
            <w:vAlign w:val="bottom"/>
          </w:tcPr>
          <w:p>
            <w:pPr>
              <w:spacing w:after="0"/>
              <w:rPr>
                <w:sz w:val="11"/>
                <w:szCs w:val="11"/>
                <w:color w:val="auto"/>
              </w:rPr>
            </w:pPr>
          </w:p>
        </w:tc>
        <w:tc>
          <w:tcPr>
            <w:tcW w:w="138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(2,944)</w:t>
            </w:r>
          </w:p>
        </w:tc>
        <w:tc>
          <w:tcPr>
            <w:tcW w:w="60" w:type="dxa"/>
            <w:vAlign w:val="bottom"/>
          </w:tcPr>
          <w:p>
            <w:pPr>
              <w:spacing w:after="0"/>
              <w:rPr>
                <w:sz w:val="11"/>
                <w:szCs w:val="11"/>
                <w:color w:val="auto"/>
              </w:rPr>
            </w:pPr>
          </w:p>
        </w:tc>
        <w:tc>
          <w:tcPr>
            <w:tcW w:w="1220" w:type="dxa"/>
            <w:vAlign w:val="bottom"/>
            <w:gridSpan w:val="2"/>
          </w:tcPr>
          <w:p>
            <w:pPr>
              <w:jc w:val="right"/>
              <w:ind w:right="140"/>
              <w:spacing w:after="0" w:line="135" w:lineRule="exact"/>
              <w:rPr>
                <w:sz w:val="20"/>
                <w:szCs w:val="20"/>
                <w:color w:val="auto"/>
              </w:rPr>
            </w:pPr>
            <w:r>
              <w:rPr>
                <w:rFonts w:ascii="Arial" w:cs="Arial" w:eastAsia="Arial" w:hAnsi="Arial"/>
                <w:sz w:val="13"/>
                <w:szCs w:val="13"/>
                <w:color w:val="auto"/>
              </w:rPr>
              <w:t>14,920</w:t>
            </w: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80" w:type="dxa"/>
            <w:vAlign w:val="bottom"/>
            <w:gridSpan w:val="2"/>
            <w:shd w:val="clear" w:color="auto" w:fill="CCEEFF"/>
          </w:tcPr>
          <w:p>
            <w:pPr>
              <w:jc w:val="right"/>
              <w:ind w:right="160"/>
              <w:spacing w:after="0" w:line="135" w:lineRule="exact"/>
              <w:rPr>
                <w:sz w:val="20"/>
                <w:szCs w:val="20"/>
                <w:color w:val="auto"/>
              </w:rPr>
            </w:pPr>
            <w:r>
              <w:rPr>
                <w:rFonts w:ascii="Arial" w:cs="Arial" w:eastAsia="Arial" w:hAnsi="Arial"/>
                <w:sz w:val="13"/>
                <w:szCs w:val="13"/>
                <w:color w:val="auto"/>
              </w:rPr>
              <w:t>(23,284)</w:t>
            </w: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8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(8,787)</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3060" w:type="dxa"/>
            <w:vAlign w:val="bottom"/>
          </w:tcPr>
          <w:p>
            <w:pPr>
              <w:ind w:left="160"/>
              <w:spacing w:after="0"/>
              <w:rPr>
                <w:sz w:val="20"/>
                <w:szCs w:val="20"/>
                <w:color w:val="auto"/>
              </w:rPr>
            </w:pPr>
            <w:r>
              <w:rPr>
                <w:rFonts w:ascii="Arial" w:cs="Arial" w:eastAsia="Arial" w:hAnsi="Arial"/>
                <w:sz w:val="13"/>
                <w:szCs w:val="13"/>
                <w:color w:val="auto"/>
              </w:rPr>
              <w:t>Amortization of intangibles</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3"/>
                <w:szCs w:val="13"/>
                <w:color w:val="auto"/>
              </w:rPr>
              <w:t>(14,052)</w:t>
            </w:r>
          </w:p>
        </w:tc>
        <w:tc>
          <w:tcPr>
            <w:tcW w:w="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3"/>
                <w:szCs w:val="13"/>
                <w:color w:val="auto"/>
              </w:rPr>
              <w:t>(7,255)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0"/>
              </w:rPr>
              <w:t>General and</w:t>
            </w:r>
          </w:p>
        </w:tc>
        <w:tc>
          <w:tcPr>
            <w:tcW w:w="60" w:type="dxa"/>
            <w:vAlign w:val="bottom"/>
          </w:tcPr>
          <w:p>
            <w:pPr>
              <w:spacing w:after="0"/>
              <w:rPr>
                <w:sz w:val="19"/>
                <w:szCs w:val="19"/>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6"/>
              </w:rPr>
              <w:t>Research and</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7"/>
              </w:rPr>
              <w:t>Depreciation and</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3"/>
        </w:trPr>
        <w:tc>
          <w:tcPr>
            <w:tcW w:w="3080" w:type="dxa"/>
            <w:vAlign w:val="bottom"/>
            <w:gridSpan w:val="2"/>
          </w:tcPr>
          <w:p>
            <w:pPr>
              <w:spacing w:after="0"/>
              <w:rPr>
                <w:sz w:val="20"/>
                <w:szCs w:val="20"/>
                <w:color w:val="auto"/>
              </w:rPr>
            </w:pPr>
            <w:r>
              <w:rPr>
                <w:rFonts w:ascii="Arial" w:cs="Arial" w:eastAsia="Arial" w:hAnsi="Arial"/>
                <w:sz w:val="13"/>
                <w:szCs w:val="13"/>
                <w:b w:val="1"/>
                <w:bCs w:val="1"/>
                <w:color w:val="auto"/>
              </w:rPr>
              <w:t>Nine Months Ended December 31, 2017</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88"/>
              </w:rPr>
              <w:t>administrative</w:t>
            </w:r>
          </w:p>
        </w:tc>
        <w:tc>
          <w:tcPr>
            <w:tcW w:w="60" w:type="dxa"/>
            <w:vAlign w:val="bottom"/>
          </w:tcPr>
          <w:p>
            <w:pPr>
              <w:spacing w:after="0"/>
              <w:rPr>
                <w:sz w:val="13"/>
                <w:szCs w:val="13"/>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7"/>
              </w:rPr>
              <w:t>development</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7"/>
              </w:rPr>
              <w:t>amortization</w:t>
            </w:r>
          </w:p>
        </w:tc>
        <w:tc>
          <w:tcPr>
            <w:tcW w:w="14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4"/>
              </w:rPr>
              <w:t>Business reorganization</w:t>
            </w:r>
          </w:p>
        </w:tc>
        <w:tc>
          <w:tcPr>
            <w:tcW w:w="60" w:type="dxa"/>
            <w:vAlign w:val="bottom"/>
          </w:tcPr>
          <w:p>
            <w:pPr>
              <w:spacing w:after="0"/>
              <w:rPr>
                <w:sz w:val="13"/>
                <w:szCs w:val="13"/>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1"/>
              </w:rPr>
              <w:t>net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20" w:type="dxa"/>
            <w:vAlign w:val="bottom"/>
            <w:vMerge w:val="restart"/>
          </w:tcPr>
          <w:p>
            <w:pPr>
              <w:spacing w:after="0"/>
              <w:rPr>
                <w:sz w:val="11"/>
                <w:szCs w:val="11"/>
                <w:color w:val="auto"/>
              </w:rPr>
            </w:pPr>
          </w:p>
        </w:tc>
        <w:tc>
          <w:tcPr>
            <w:tcW w:w="306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vMerge w:val="continue"/>
          </w:tcPr>
          <w:p>
            <w:pPr>
              <w:spacing w:after="0"/>
              <w:rPr>
                <w:sz w:val="11"/>
                <w:szCs w:val="11"/>
                <w:color w:val="auto"/>
              </w:rPr>
            </w:pPr>
          </w:p>
        </w:tc>
        <w:tc>
          <w:tcPr>
            <w:tcW w:w="306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As reported</w:t>
            </w:r>
          </w:p>
        </w:tc>
        <w:tc>
          <w:tcPr>
            <w:tcW w:w="320" w:type="dxa"/>
            <w:vAlign w:val="bottom"/>
            <w:gridSpan w:val="2"/>
            <w:shd w:val="clear" w:color="auto" w:fill="CCEEFF"/>
          </w:tcPr>
          <w:p>
            <w:pPr>
              <w:jc w:val="right"/>
              <w:ind w:right="40"/>
              <w:spacing w:after="0" w:line="135" w:lineRule="exact"/>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187,378</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00" w:type="dxa"/>
            <w:vAlign w:val="bottom"/>
            <w:gridSpan w:val="2"/>
            <w:shd w:val="clear" w:color="auto" w:fill="CCEEFF"/>
          </w:tcPr>
          <w:p>
            <w:pPr>
              <w:jc w:val="right"/>
              <w:ind w:right="120"/>
              <w:spacing w:after="0" w:line="135" w:lineRule="exact"/>
              <w:rPr>
                <w:sz w:val="20"/>
                <w:szCs w:val="20"/>
                <w:color w:val="auto"/>
              </w:rPr>
            </w:pPr>
            <w:r>
              <w:rPr>
                <w:rFonts w:ascii="Arial" w:cs="Arial" w:eastAsia="Arial" w:hAnsi="Arial"/>
                <w:sz w:val="13"/>
                <w:szCs w:val="13"/>
                <w:color w:val="auto"/>
              </w:rPr>
              <w:t>142,245</w:t>
            </w:r>
          </w:p>
        </w:tc>
        <w:tc>
          <w:tcPr>
            <w:tcW w:w="160" w:type="dxa"/>
            <w:vAlign w:val="bottom"/>
            <w:gridSpan w:val="2"/>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280" w:type="dxa"/>
            <w:vAlign w:val="bottom"/>
            <w:gridSpan w:val="2"/>
            <w:shd w:val="clear" w:color="auto" w:fill="CCEEFF"/>
          </w:tcPr>
          <w:p>
            <w:pPr>
              <w:jc w:val="right"/>
              <w:ind w:right="220"/>
              <w:spacing w:after="0" w:line="135" w:lineRule="exact"/>
              <w:rPr>
                <w:sz w:val="20"/>
                <w:szCs w:val="20"/>
                <w:color w:val="auto"/>
              </w:rPr>
            </w:pPr>
            <w:r>
              <w:rPr>
                <w:rFonts w:ascii="Arial" w:cs="Arial" w:eastAsia="Arial" w:hAnsi="Arial"/>
                <w:sz w:val="13"/>
                <w:szCs w:val="13"/>
                <w:color w:val="auto"/>
              </w:rPr>
              <w:t>34,490</w:t>
            </w:r>
          </w:p>
        </w:tc>
        <w:tc>
          <w:tcPr>
            <w:tcW w:w="10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380" w:type="dxa"/>
            <w:vAlign w:val="bottom"/>
            <w:gridSpan w:val="2"/>
            <w:shd w:val="clear" w:color="auto" w:fill="CCEEFF"/>
          </w:tcPr>
          <w:p>
            <w:pPr>
              <w:jc w:val="right"/>
              <w:ind w:right="200"/>
              <w:spacing w:after="0" w:line="135" w:lineRule="exact"/>
              <w:rPr>
                <w:sz w:val="20"/>
                <w:szCs w:val="20"/>
                <w:color w:val="auto"/>
              </w:rPr>
            </w:pPr>
            <w:r>
              <w:rPr>
                <w:rFonts w:ascii="Arial" w:cs="Arial" w:eastAsia="Arial" w:hAnsi="Arial"/>
                <w:sz w:val="13"/>
                <w:szCs w:val="13"/>
                <w:color w:val="auto"/>
              </w:rPr>
              <w:t>13,012</w:t>
            </w:r>
          </w:p>
        </w:tc>
        <w:tc>
          <w:tcPr>
            <w:tcW w:w="60" w:type="dxa"/>
            <w:vAlign w:val="bottom"/>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2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(2,403)</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Stock-based compensation</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180"/>
              <w:spacing w:after="0" w:line="135" w:lineRule="exact"/>
              <w:rPr>
                <w:sz w:val="20"/>
                <w:szCs w:val="20"/>
                <w:color w:val="auto"/>
              </w:rPr>
            </w:pPr>
            <w:r>
              <w:rPr>
                <w:rFonts w:ascii="Arial" w:cs="Arial" w:eastAsia="Arial" w:hAnsi="Arial"/>
                <w:sz w:val="13"/>
                <w:szCs w:val="13"/>
                <w:color w:val="auto"/>
              </w:rPr>
              <w:t>(48,629)</w:t>
            </w:r>
          </w:p>
        </w:tc>
        <w:tc>
          <w:tcPr>
            <w:tcW w:w="60" w:type="dxa"/>
            <w:vAlign w:val="bottom"/>
          </w:tcPr>
          <w:p>
            <w:pPr>
              <w:spacing w:after="0"/>
              <w:rPr>
                <w:sz w:val="11"/>
                <w:szCs w:val="11"/>
                <w:color w:val="auto"/>
              </w:rPr>
            </w:pPr>
          </w:p>
        </w:tc>
        <w:tc>
          <w:tcPr>
            <w:tcW w:w="1200" w:type="dxa"/>
            <w:vAlign w:val="bottom"/>
            <w:gridSpan w:val="2"/>
          </w:tcPr>
          <w:p>
            <w:pPr>
              <w:jc w:val="right"/>
              <w:ind w:right="80"/>
              <w:spacing w:after="0" w:line="135" w:lineRule="exact"/>
              <w:rPr>
                <w:sz w:val="20"/>
                <w:szCs w:val="20"/>
                <w:color w:val="auto"/>
              </w:rPr>
            </w:pPr>
            <w:r>
              <w:rPr>
                <w:rFonts w:ascii="Arial" w:cs="Arial" w:eastAsia="Arial" w:hAnsi="Arial"/>
                <w:sz w:val="13"/>
                <w:szCs w:val="13"/>
                <w:color w:val="auto"/>
              </w:rPr>
              <w:t>(12,990)</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Non-cash amounts related to convertible notes</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20" w:type="dxa"/>
            <w:vAlign w:val="bottom"/>
            <w:gridSpan w:val="2"/>
            <w:shd w:val="clear" w:color="auto" w:fill="CCEEFF"/>
          </w:tcPr>
          <w:p>
            <w:pPr>
              <w:jc w:val="right"/>
              <w:ind w:right="140"/>
              <w:spacing w:after="0" w:line="135" w:lineRule="exact"/>
              <w:rPr>
                <w:sz w:val="20"/>
                <w:szCs w:val="20"/>
                <w:color w:val="auto"/>
              </w:rPr>
            </w:pPr>
            <w:r>
              <w:rPr>
                <w:rFonts w:ascii="Arial" w:cs="Arial" w:eastAsia="Arial" w:hAnsi="Arial"/>
                <w:sz w:val="13"/>
                <w:szCs w:val="13"/>
                <w:color w:val="auto"/>
              </w:rPr>
              <w:t>10,569</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Acquisition related expenses</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right"/>
              <w:ind w:right="220"/>
              <w:spacing w:after="0" w:line="135" w:lineRule="exact"/>
              <w:rPr>
                <w:sz w:val="20"/>
                <w:szCs w:val="20"/>
                <w:color w:val="auto"/>
              </w:rPr>
            </w:pPr>
            <w:r>
              <w:rPr>
                <w:rFonts w:ascii="Arial" w:cs="Arial" w:eastAsia="Arial" w:hAnsi="Arial"/>
                <w:sz w:val="13"/>
                <w:szCs w:val="13"/>
                <w:color w:val="auto"/>
              </w:rPr>
              <w:t>6,939</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w w:val="96"/>
              </w:rPr>
              <w:t>Amortization and impairment of acquired intangibles</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80"/>
              <w:spacing w:after="0" w:line="135" w:lineRule="exact"/>
              <w:rPr>
                <w:sz w:val="20"/>
                <w:szCs w:val="20"/>
                <w:color w:val="auto"/>
              </w:rPr>
            </w:pPr>
            <w:r>
              <w:rPr>
                <w:rFonts w:ascii="Arial" w:cs="Arial" w:eastAsia="Arial" w:hAnsi="Arial"/>
                <w:sz w:val="13"/>
                <w:szCs w:val="13"/>
                <w:color w:val="auto"/>
              </w:rPr>
              <w:t>(4,788)</w:t>
            </w: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8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(11,633)</w:t>
            </w: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tcPr>
          <w:p>
            <w:pPr>
              <w:ind w:left="160"/>
              <w:spacing w:after="0" w:line="135" w:lineRule="exact"/>
              <w:rPr>
                <w:sz w:val="20"/>
                <w:szCs w:val="20"/>
                <w:color w:val="auto"/>
              </w:rPr>
            </w:pPr>
            <w:r>
              <w:rPr>
                <w:rFonts w:ascii="Arial" w:cs="Arial" w:eastAsia="Arial" w:hAnsi="Arial"/>
                <w:sz w:val="13"/>
                <w:szCs w:val="13"/>
                <w:color w:val="auto"/>
              </w:rPr>
              <w:t>Impact of business reorganization</w:t>
            </w: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gridSpan w:val="2"/>
          </w:tcPr>
          <w:p>
            <w:pPr>
              <w:jc w:val="right"/>
              <w:ind w:right="160"/>
              <w:spacing w:after="0" w:line="135" w:lineRule="exact"/>
              <w:rPr>
                <w:sz w:val="20"/>
                <w:szCs w:val="20"/>
                <w:color w:val="auto"/>
              </w:rPr>
            </w:pPr>
            <w:r>
              <w:rPr>
                <w:rFonts w:ascii="Arial" w:cs="Arial" w:eastAsia="Arial" w:hAnsi="Arial"/>
                <w:sz w:val="13"/>
                <w:szCs w:val="13"/>
                <w:color w:val="auto"/>
              </w:rPr>
              <w:t>(13,012)</w:t>
            </w:r>
          </w:p>
        </w:tc>
        <w:tc>
          <w:tcPr>
            <w:tcW w:w="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060" w:type="dxa"/>
            <w:vAlign w:val="bottom"/>
            <w:shd w:val="clear" w:color="auto" w:fill="CCEEFF"/>
          </w:tcPr>
          <w:p>
            <w:pPr>
              <w:ind w:left="160"/>
              <w:spacing w:after="0" w:line="135" w:lineRule="exact"/>
              <w:rPr>
                <w:sz w:val="20"/>
                <w:szCs w:val="20"/>
                <w:color w:val="auto"/>
              </w:rPr>
            </w:pPr>
            <w:r>
              <w:rPr>
                <w:rFonts w:ascii="Arial" w:cs="Arial" w:eastAsia="Arial" w:hAnsi="Arial"/>
                <w:sz w:val="13"/>
                <w:szCs w:val="13"/>
                <w:color w:val="auto"/>
              </w:rPr>
              <w:t>Other, net</w:t>
            </w:r>
          </w:p>
        </w:tc>
        <w:tc>
          <w:tcPr>
            <w:tcW w:w="2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20" w:type="dxa"/>
            <w:vAlign w:val="bottom"/>
            <w:gridSpan w:val="2"/>
            <w:shd w:val="clear" w:color="auto" w:fill="CCEEFF"/>
          </w:tcPr>
          <w:p>
            <w:pPr>
              <w:jc w:val="right"/>
              <w:ind w:right="100"/>
              <w:spacing w:after="0" w:line="135" w:lineRule="exact"/>
              <w:rPr>
                <w:sz w:val="20"/>
                <w:szCs w:val="20"/>
                <w:color w:val="auto"/>
              </w:rPr>
            </w:pPr>
            <w:r>
              <w:rPr>
                <w:rFonts w:ascii="Arial" w:cs="Arial" w:eastAsia="Arial" w:hAnsi="Arial"/>
                <w:sz w:val="13"/>
                <w:szCs w:val="13"/>
                <w:color w:val="auto"/>
              </w:rPr>
              <w:t>(93)</w:t>
            </w:r>
          </w:p>
        </w:tc>
        <w:tc>
          <w:tcPr>
            <w:tcW w:w="80" w:type="dxa"/>
            <w:vAlign w:val="bottom"/>
            <w:shd w:val="clear" w:color="auto" w:fill="CCEEFF"/>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8"/>
        </w:trPr>
        <w:tc>
          <w:tcPr>
            <w:tcW w:w="20" w:type="dxa"/>
            <w:vAlign w:val="bottom"/>
            <w:tcBorders>
              <w:bottom w:val="single" w:sz="8" w:color="808080"/>
            </w:tcBorders>
          </w:tcPr>
          <w:p>
            <w:pPr>
              <w:spacing w:after="0"/>
              <w:rPr>
                <w:sz w:val="24"/>
                <w:szCs w:val="24"/>
                <w:color w:val="auto"/>
              </w:rPr>
            </w:pPr>
          </w:p>
        </w:tc>
        <w:tc>
          <w:tcPr>
            <w:tcW w:w="306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2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60" w:type="dxa"/>
            <w:vAlign w:val="bottom"/>
            <w:tcBorders>
              <w:bottom w:val="single" w:sz="8" w:color="808080"/>
            </w:tcBorders>
          </w:tcPr>
          <w:p>
            <w:pPr>
              <w:spacing w:after="0"/>
              <w:rPr>
                <w:sz w:val="24"/>
                <w:szCs w:val="24"/>
                <w:color w:val="auto"/>
              </w:rPr>
            </w:pPr>
          </w:p>
        </w:tc>
        <w:tc>
          <w:tcPr>
            <w:tcW w:w="2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180" w:type="dxa"/>
            <w:vAlign w:val="bottom"/>
            <w:tcBorders>
              <w:bottom w:val="single" w:sz="8" w:color="808080"/>
            </w:tcBorders>
          </w:tcPr>
          <w:p>
            <w:pPr>
              <w:spacing w:after="0"/>
              <w:rPr>
                <w:sz w:val="24"/>
                <w:szCs w:val="24"/>
                <w:color w:val="auto"/>
              </w:rPr>
            </w:pPr>
          </w:p>
        </w:tc>
        <w:tc>
          <w:tcPr>
            <w:tcW w:w="200" w:type="dxa"/>
            <w:vAlign w:val="bottom"/>
            <w:tcBorders>
              <w:bottom w:val="single" w:sz="8" w:color="808080"/>
            </w:tcBorders>
          </w:tcPr>
          <w:p>
            <w:pPr>
              <w:spacing w:after="0"/>
              <w:rPr>
                <w:sz w:val="24"/>
                <w:szCs w:val="24"/>
                <w:color w:val="auto"/>
              </w:rPr>
            </w:pPr>
          </w:p>
        </w:tc>
        <w:tc>
          <w:tcPr>
            <w:tcW w:w="60" w:type="dxa"/>
            <w:vAlign w:val="bottom"/>
            <w:tcBorders>
              <w:bottom w:val="single" w:sz="8" w:color="808080"/>
            </w:tcBorders>
          </w:tcPr>
          <w:p>
            <w:pPr>
              <w:spacing w:after="0"/>
              <w:rPr>
                <w:sz w:val="24"/>
                <w:szCs w:val="24"/>
                <w:color w:val="auto"/>
              </w:rPr>
            </w:pPr>
          </w:p>
        </w:tc>
        <w:tc>
          <w:tcPr>
            <w:tcW w:w="1080" w:type="dxa"/>
            <w:vAlign w:val="bottom"/>
            <w:tcBorders>
              <w:bottom w:val="single" w:sz="8" w:color="808080"/>
            </w:tcBorders>
          </w:tcPr>
          <w:p>
            <w:pPr>
              <w:spacing w:after="0"/>
              <w:rPr>
                <w:sz w:val="24"/>
                <w:szCs w:val="24"/>
                <w:color w:val="auto"/>
              </w:rPr>
            </w:pPr>
          </w:p>
        </w:tc>
        <w:tc>
          <w:tcPr>
            <w:tcW w:w="14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98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7" w:right="19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GAAP TO NON-GAAP MEASURE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thousands)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6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Nine months ended December 31,</w:t>
            </w:r>
          </w:p>
        </w:tc>
        <w:tc>
          <w:tcPr>
            <w:tcW w:w="40" w:type="dxa"/>
            <w:vAlign w:val="bottom"/>
          </w:tcPr>
          <w:p>
            <w:pPr>
              <w:spacing w:after="0"/>
              <w:rPr>
                <w:sz w:val="14"/>
                <w:szCs w:val="14"/>
                <w:color w:val="auto"/>
              </w:rPr>
            </w:pPr>
          </w:p>
        </w:tc>
      </w:tr>
      <w:tr>
        <w:trPr>
          <w:trHeight w:val="142"/>
        </w:trPr>
        <w:tc>
          <w:tcPr>
            <w:tcW w:w="8300" w:type="dxa"/>
            <w:vAlign w:val="bottom"/>
            <w:tcBorders>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120" w:type="dxa"/>
            <w:vAlign w:val="bottom"/>
            <w:tcBorders>
              <w:top w:val="single" w:sz="8" w:color="auto"/>
              <w:bottom w:val="single" w:sz="8" w:color="auto"/>
            </w:tcBorders>
          </w:tcPr>
          <w:p>
            <w:pPr>
              <w:jc w:val="right"/>
              <w:ind w:right="456"/>
              <w:spacing w:after="0" w:line="142"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top w:val="single" w:sz="8" w:color="auto"/>
              <w:bottom w:val="single" w:sz="8" w:color="CCEEFF"/>
            </w:tcBorders>
          </w:tcPr>
          <w:p>
            <w:pPr>
              <w:spacing w:after="0"/>
              <w:rPr>
                <w:sz w:val="12"/>
                <w:szCs w:val="12"/>
                <w:color w:val="auto"/>
              </w:rPr>
            </w:pPr>
          </w:p>
        </w:tc>
        <w:tc>
          <w:tcPr>
            <w:tcW w:w="260" w:type="dxa"/>
            <w:vAlign w:val="bottom"/>
            <w:tcBorders>
              <w:top w:val="single" w:sz="8" w:color="auto"/>
              <w:bottom w:val="single" w:sz="8" w:color="auto"/>
            </w:tcBorders>
          </w:tcPr>
          <w:p>
            <w:pPr>
              <w:spacing w:after="0"/>
              <w:rPr>
                <w:sz w:val="12"/>
                <w:szCs w:val="12"/>
                <w:color w:val="auto"/>
              </w:rPr>
            </w:pPr>
          </w:p>
        </w:tc>
        <w:tc>
          <w:tcPr>
            <w:tcW w:w="1100" w:type="dxa"/>
            <w:vAlign w:val="bottom"/>
            <w:tcBorders>
              <w:top w:val="single" w:sz="8" w:color="auto"/>
              <w:bottom w:val="single" w:sz="8" w:color="auto"/>
            </w:tcBorders>
          </w:tcPr>
          <w:p>
            <w:pPr>
              <w:jc w:val="right"/>
              <w:ind w:right="454"/>
              <w:spacing w:after="0" w:line="142" w:lineRule="exact"/>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2"/>
                <w:szCs w:val="12"/>
                <w:color w:val="auto"/>
              </w:rPr>
            </w:pPr>
          </w:p>
        </w:tc>
        <w:tc>
          <w:tcPr>
            <w:tcW w:w="40" w:type="dxa"/>
            <w:vAlign w:val="bottom"/>
          </w:tcPr>
          <w:p>
            <w:pPr>
              <w:spacing w:after="0"/>
              <w:rPr>
                <w:sz w:val="12"/>
                <w:szCs w:val="12"/>
                <w:color w:val="auto"/>
              </w:rPr>
            </w:pPr>
          </w:p>
        </w:tc>
      </w:tr>
      <w:tr>
        <w:trPr>
          <w:trHeight w:val="210"/>
        </w:trPr>
        <w:tc>
          <w:tcPr>
            <w:tcW w:w="8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cash (used in) provided by operating activities</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390,199</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241,073</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8300" w:type="dxa"/>
            <w:vAlign w:val="bottom"/>
          </w:tcPr>
          <w:p>
            <w:pPr>
              <w:ind w:left="180"/>
              <w:spacing w:after="0"/>
              <w:rPr>
                <w:sz w:val="20"/>
                <w:szCs w:val="20"/>
                <w:color w:val="auto"/>
              </w:rPr>
            </w:pPr>
            <w:r>
              <w:rPr>
                <w:rFonts w:ascii="Arial" w:cs="Arial" w:eastAsia="Arial" w:hAnsi="Arial"/>
                <w:sz w:val="18"/>
                <w:szCs w:val="18"/>
                <w:color w:val="auto"/>
              </w:rPr>
              <w:t>Net change in Restricted cash (1)</w:t>
            </w:r>
          </w:p>
        </w:tc>
        <w:tc>
          <w:tcPr>
            <w:tcW w:w="260" w:type="dxa"/>
            <w:vAlign w:val="bottom"/>
          </w:tcPr>
          <w:p>
            <w:pPr>
              <w:spacing w:after="0"/>
              <w:rPr>
                <w:sz w:val="18"/>
                <w:szCs w:val="18"/>
                <w:color w:val="auto"/>
              </w:rPr>
            </w:pPr>
          </w:p>
        </w:tc>
        <w:tc>
          <w:tcPr>
            <w:tcW w:w="14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196,814</w:t>
            </w:r>
          </w:p>
        </w:tc>
        <w:tc>
          <w:tcPr>
            <w:tcW w:w="26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(36,988)</w:t>
            </w:r>
          </w:p>
        </w:tc>
        <w:tc>
          <w:tcPr>
            <w:tcW w:w="40" w:type="dxa"/>
            <w:vAlign w:val="bottom"/>
          </w:tcPr>
          <w:p>
            <w:pPr>
              <w:spacing w:after="0"/>
              <w:rPr>
                <w:sz w:val="18"/>
                <w:szCs w:val="18"/>
                <w:color w:val="auto"/>
              </w:rPr>
            </w:pPr>
          </w:p>
        </w:tc>
      </w:tr>
      <w:tr>
        <w:trPr>
          <w:trHeight w:val="210"/>
        </w:trPr>
        <w:tc>
          <w:tcPr>
            <w:tcW w:w="83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Adjusted Operating Cash Flow</w:t>
            </w: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587,013</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204,085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0"/>
        </w:trPr>
        <w:tc>
          <w:tcPr>
            <w:tcW w:w="8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45"/>
        </w:trPr>
        <w:tc>
          <w:tcPr>
            <w:tcW w:w="8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gridSpan w:val="2"/>
          </w:tcPr>
          <w:p>
            <w:pPr>
              <w:ind w:left="180"/>
              <w:spacing w:after="0"/>
              <w:rPr>
                <w:sz w:val="20"/>
                <w:szCs w:val="20"/>
                <w:color w:val="auto"/>
              </w:rPr>
            </w:pPr>
            <w:r>
              <w:rPr>
                <w:rFonts w:ascii="Arial" w:cs="Arial" w:eastAsia="Arial" w:hAnsi="Arial"/>
                <w:sz w:val="14"/>
                <w:szCs w:val="14"/>
                <w:b w:val="1"/>
                <w:bCs w:val="1"/>
                <w:color w:val="auto"/>
              </w:rPr>
              <w:t>FY 2019</w:t>
            </w:r>
          </w:p>
        </w:tc>
        <w:tc>
          <w:tcPr>
            <w:tcW w:w="260" w:type="dxa"/>
            <w:vAlign w:val="bottom"/>
          </w:tcPr>
          <w:p>
            <w:pPr>
              <w:spacing w:after="0"/>
              <w:rPr>
                <w:sz w:val="24"/>
                <w:szCs w:val="24"/>
                <w:color w:val="auto"/>
              </w:rPr>
            </w:pPr>
          </w:p>
        </w:tc>
        <w:tc>
          <w:tcPr>
            <w:tcW w:w="120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FY 2018</w:t>
            </w:r>
          </w:p>
        </w:tc>
        <w:tc>
          <w:tcPr>
            <w:tcW w:w="40" w:type="dxa"/>
            <w:vAlign w:val="bottom"/>
          </w:tcPr>
          <w:p>
            <w:pPr>
              <w:spacing w:after="0"/>
              <w:rPr>
                <w:sz w:val="24"/>
                <w:szCs w:val="24"/>
                <w:color w:val="auto"/>
              </w:rPr>
            </w:pPr>
          </w:p>
        </w:tc>
      </w:tr>
      <w:tr>
        <w:trPr>
          <w:trHeight w:val="210"/>
        </w:trPr>
        <w:tc>
          <w:tcPr>
            <w:tcW w:w="8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Restricted cash beginning of period (4/1)</w:t>
            </w: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437,398</w:t>
            </w:r>
          </w:p>
        </w:tc>
        <w:tc>
          <w:tcPr>
            <w:tcW w:w="2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337,818</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8300" w:type="dxa"/>
            <w:vAlign w:val="bottom"/>
          </w:tcPr>
          <w:p>
            <w:pPr>
              <w:spacing w:after="0"/>
              <w:rPr>
                <w:sz w:val="20"/>
                <w:szCs w:val="20"/>
                <w:color w:val="auto"/>
              </w:rPr>
            </w:pPr>
            <w:r>
              <w:rPr>
                <w:rFonts w:ascii="Arial" w:cs="Arial" w:eastAsia="Arial" w:hAnsi="Arial"/>
                <w:sz w:val="18"/>
                <w:szCs w:val="18"/>
                <w:color w:val="auto"/>
              </w:rPr>
              <w:t>Restricted cash end of period (12/31)</w:t>
            </w:r>
          </w:p>
        </w:tc>
        <w:tc>
          <w:tcPr>
            <w:tcW w:w="260" w:type="dxa"/>
            <w:vAlign w:val="bottom"/>
          </w:tcPr>
          <w:p>
            <w:pPr>
              <w:spacing w:after="0"/>
              <w:rPr>
                <w:sz w:val="18"/>
                <w:szCs w:val="18"/>
                <w:color w:val="auto"/>
              </w:rPr>
            </w:pPr>
          </w:p>
        </w:tc>
        <w:tc>
          <w:tcPr>
            <w:tcW w:w="14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240,584</w:t>
            </w:r>
          </w:p>
        </w:tc>
        <w:tc>
          <w:tcPr>
            <w:tcW w:w="26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374,806</w:t>
            </w:r>
          </w:p>
        </w:tc>
        <w:tc>
          <w:tcPr>
            <w:tcW w:w="40" w:type="dxa"/>
            <w:vAlign w:val="bottom"/>
          </w:tcPr>
          <w:p>
            <w:pPr>
              <w:spacing w:after="0"/>
              <w:rPr>
                <w:sz w:val="18"/>
                <w:szCs w:val="18"/>
                <w:color w:val="auto"/>
              </w:rPr>
            </w:pPr>
          </w:p>
        </w:tc>
      </w:tr>
      <w:tr>
        <w:trPr>
          <w:trHeight w:val="223"/>
        </w:trPr>
        <w:tc>
          <w:tcPr>
            <w:tcW w:w="83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(1) Net change in Restricted cash</w:t>
            </w: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196,814</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(36,988</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40" w:type="dxa"/>
            <w:vAlign w:val="bottom"/>
          </w:tcPr>
          <w:p>
            <w:pPr>
              <w:spacing w:after="0"/>
              <w:rPr>
                <w:sz w:val="19"/>
                <w:szCs w:val="19"/>
                <w:color w:val="auto"/>
              </w:rPr>
            </w:pPr>
          </w:p>
        </w:tc>
      </w:tr>
      <w:tr>
        <w:trPr>
          <w:trHeight w:val="20"/>
        </w:trPr>
        <w:tc>
          <w:tcPr>
            <w:tcW w:w="8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28"/>
        </w:trPr>
        <w:tc>
          <w:tcPr>
            <w:tcW w:w="830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120" w:type="dxa"/>
            <w:vAlign w:val="bottom"/>
            <w:tcBorders>
              <w:bottom w:val="single" w:sz="8" w:color="808080"/>
            </w:tcBorders>
          </w:tcPr>
          <w:p>
            <w:pPr>
              <w:spacing w:after="0"/>
              <w:rPr>
                <w:sz w:val="24"/>
                <w:szCs w:val="24"/>
                <w:color w:val="auto"/>
              </w:rPr>
            </w:pPr>
          </w:p>
        </w:tc>
        <w:tc>
          <w:tcPr>
            <w:tcW w:w="2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10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337"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o"/>
      <w:numFmt w:val="bullet"/>
      <w:start w:val="1"/>
    </w:lvl>
  </w:abstractNum>
  <w:abstractNum w:abstractNumId="1">
    <w:nsid w:val="7545E146"/>
    <w:multiLevelType w:val="hybridMultilevel"/>
    <w:lvl w:ilvl="0">
      <w:lvlJc w:val="left"/>
      <w:lvlText w:val="(%1)"/>
      <w:numFmt w:val="lowerLetter"/>
      <w:start w:val="4"/>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
      <w:numFmt w:val="bullet"/>
      <w:start w:val="1"/>
    </w:lvl>
    <w:lvl w:ilvl="1">
      <w:lvlJc w:val="left"/>
      <w:lvlText w:val="·"/>
      <w:numFmt w:val="bullet"/>
      <w:start w:val="1"/>
    </w:lvl>
  </w:abstractNum>
  <w:abstractNum w:abstractNumId="4">
    <w:nsid w:val="12200854"/>
    <w:multiLevelType w:val="hybridMultilevel"/>
    <w:lvl w:ilvl="0">
      <w:lvlJc w:val="left"/>
      <w:lvlText w:val="·"/>
      <w:numFmt w:val="bullet"/>
      <w:start w:val="1"/>
    </w:lvl>
  </w:abstractNum>
  <w:abstractNum w:abstractNumId="5">
    <w:nsid w:val="4DB127F8"/>
    <w:multiLevelType w:val="hybridMultilevel"/>
    <w:lvl w:ilvl="0">
      <w:lvlJc w:val="left"/>
      <w:lvlText w:val="·"/>
      <w:numFmt w:val="bullet"/>
      <w:start w:val="1"/>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
      <w:numFmt w:val="bullet"/>
      <w:start w:val="1"/>
    </w:lvl>
  </w:abstractNum>
  <w:abstractNum w:abstractNumId="9">
    <w:nsid w:val="66EF438D"/>
    <w:multiLevelType w:val="hybridMultilevel"/>
    <w:lvl w:ilvl="0">
      <w:lvlJc w:val="left"/>
      <w:lvlText w:val="·"/>
      <w:numFmt w:val="bullet"/>
      <w:start w:val="1"/>
    </w:lvl>
  </w:abstractNum>
  <w:abstractNum w:abstractNumId="10">
    <w:nsid w:val="140E0F76"/>
    <w:multiLevelType w:val="hybridMultilevel"/>
    <w:lvl w:ilvl="0">
      <w:lvlJc w:val="left"/>
      <w:lvlText w:val="·"/>
      <w:numFmt w:val="bullet"/>
      <w:start w:val="1"/>
    </w:lvl>
  </w:abstractNum>
  <w:abstractNum w:abstractNumId="11">
    <w:nsid w:val="3352255A"/>
    <w:multiLevelType w:val="hybridMultilevel"/>
    <w:lvl w:ilvl="0">
      <w:lvlJc w:val="left"/>
      <w:lvlText w:val="%1)"/>
      <w:numFmt w:val="decimal"/>
      <w:start w:val="1"/>
    </w:lvl>
  </w:abstractNum>
  <w:abstractNum w:abstractNumId="12">
    <w:nsid w:val="109CF92E"/>
    <w:multiLevelType w:val="hybridMultilevel"/>
    <w:lvl w:ilvl="0">
      <w:lvlJc w:val="left"/>
      <w:lvlText w:val="(%1)"/>
      <w:numFmt w:val="decimal"/>
      <w:start w:val="877"/>
    </w:lvl>
  </w:abstractNum>
  <w:abstractNum w:abstractNumId="13">
    <w:nsid w:val="DED72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2019-12-28T16:55:49Z</dcterms:created>
  <dcterms:modified xsi:type="dcterms:W3CDTF">2019-12-28T16:55:49Z</dcterms:modified>
</cp:coreProperties>
</file>