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499745</wp:posOffset>
            </wp:positionH>
            <wp:positionV relativeFrom="page">
              <wp:posOffset>498475</wp:posOffset>
            </wp:positionV>
            <wp:extent cx="654939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9390" cy="1651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9" w:lineRule="exact"/>
        <w:rPr>
          <w:sz w:val="24"/>
          <w:szCs w:val="24"/>
          <w:color w:val="auto"/>
        </w:rPr>
      </w:pPr>
    </w:p>
    <w:p>
      <w:pPr>
        <w:ind w:left="880" w:hanging="303"/>
        <w:spacing w:after="0"/>
        <w:tabs>
          <w:tab w:leader="none" w:pos="8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2025</w:t>
      </w:r>
    </w:p>
    <w:p>
      <w:pPr>
        <w:spacing w:after="0" w:line="14"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 w:lineRule="exact"/>
        <w:rPr>
          <w:sz w:val="24"/>
          <w:szCs w:val="24"/>
          <w:color w:val="auto"/>
        </w:rPr>
      </w:pPr>
    </w:p>
    <w:p>
      <w:pPr>
        <w:ind w:left="880" w:hanging="303"/>
        <w:spacing w:after="0"/>
        <w:tabs>
          <w:tab w:leader="none" w:pos="8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9" w:lineRule="exact"/>
        <w:rPr>
          <w:sz w:val="24"/>
          <w:szCs w:val="24"/>
          <w:color w:val="auto"/>
        </w:rPr>
      </w:pPr>
    </w:p>
    <w:tbl>
      <w:tblPr>
        <w:tblLayout w:type="fixed"/>
        <w:tblInd w:w="1660" w:type="dxa"/>
        <w:tblCellMar>
          <w:top w:w="0" w:type="dxa"/>
          <w:left w:w="0" w:type="dxa"/>
          <w:bottom w:w="0" w:type="dxa"/>
          <w:right w:w="0" w:type="dxa"/>
        </w:tblCellMar>
      </w:tblPr>
      <w:tr>
        <w:trPr>
          <w:trHeight w:val="182"/>
        </w:trPr>
        <w:tc>
          <w:tcPr>
            <w:tcW w:w="1920" w:type="dxa"/>
            <w:vAlign w:val="bottom"/>
          </w:tcPr>
          <w:p>
            <w:pPr>
              <w:spacing w:after="0"/>
              <w:rPr>
                <w:sz w:val="15"/>
                <w:szCs w:val="15"/>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w:t>
            </w:r>
          </w:p>
        </w:tc>
        <w:tc>
          <w:tcPr>
            <w:tcW w:w="2600" w:type="dxa"/>
            <w:vAlign w:val="bottom"/>
          </w:tcPr>
          <w:p>
            <w:pPr>
              <w:jc w:val="right"/>
              <w:ind w:right="18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9"/>
        </w:trPr>
        <w:tc>
          <w:tcPr>
            <w:tcW w:w="1920" w:type="dxa"/>
            <w:vAlign w:val="bottom"/>
          </w:tcPr>
          <w:p>
            <w:pPr>
              <w:spacing w:after="0"/>
              <w:rPr>
                <w:sz w:val="24"/>
                <w:szCs w:val="24"/>
                <w:color w:val="auto"/>
              </w:rPr>
            </w:pPr>
          </w:p>
        </w:tc>
        <w:tc>
          <w:tcPr>
            <w:tcW w:w="3780" w:type="dxa"/>
            <w:vAlign w:val="bottom"/>
            <w:gridSpan w:val="2"/>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9"/>
              </w:rPr>
              <w:t xml:space="preserve">Commission file number </w:t>
            </w:r>
            <w:r>
              <w:rPr>
                <w:rFonts w:ascii="Times New Roman" w:cs="Times New Roman" w:eastAsia="Times New Roman" w:hAnsi="Times New Roman"/>
                <w:sz w:val="17"/>
                <w:szCs w:val="17"/>
                <w:color w:val="auto"/>
                <w:w w:val="99"/>
              </w:rPr>
              <w:t>001-34003</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8300" w:type="dxa"/>
            <w:vAlign w:val="bottom"/>
            <w:gridSpan w:val="4"/>
          </w:tcPr>
          <w:p>
            <w:pPr>
              <w:jc w:val="center"/>
              <w:ind w:right="291"/>
              <w:spacing w:after="0"/>
              <w:rPr>
                <w:sz w:val="20"/>
                <w:szCs w:val="20"/>
                <w:color w:val="auto"/>
              </w:rPr>
            </w:pPr>
            <w:r>
              <w:rPr>
                <w:rFonts w:ascii="Times New Roman" w:cs="Times New Roman" w:eastAsia="Times New Roman" w:hAnsi="Times New Roman"/>
                <w:sz w:val="31"/>
                <w:szCs w:val="31"/>
                <w:b w:val="1"/>
                <w:bCs w:val="1"/>
                <w:color w:val="auto"/>
                <w:w w:val="98"/>
              </w:rPr>
              <w:t>TAKE-TWO INTERACTIVE SOFTWARE, INC.</w:t>
            </w:r>
          </w:p>
        </w:tc>
        <w:tc>
          <w:tcPr>
            <w:tcW w:w="0" w:type="dxa"/>
            <w:vAlign w:val="bottom"/>
          </w:tcPr>
          <w:p>
            <w:pPr>
              <w:spacing w:after="0"/>
              <w:rPr>
                <w:sz w:val="1"/>
                <w:szCs w:val="1"/>
                <w:color w:val="auto"/>
              </w:rPr>
            </w:pPr>
          </w:p>
        </w:tc>
      </w:tr>
      <w:tr>
        <w:trPr>
          <w:trHeight w:val="232"/>
        </w:trPr>
        <w:tc>
          <w:tcPr>
            <w:tcW w:w="1920" w:type="dxa"/>
            <w:vAlign w:val="bottom"/>
          </w:tcPr>
          <w:p>
            <w:pPr>
              <w:spacing w:after="0"/>
              <w:rPr>
                <w:sz w:val="20"/>
                <w:szCs w:val="20"/>
                <w:color w:val="auto"/>
              </w:rPr>
            </w:pPr>
          </w:p>
        </w:tc>
        <w:tc>
          <w:tcPr>
            <w:tcW w:w="378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92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2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0" w:type="dxa"/>
            <w:vAlign w:val="bottom"/>
          </w:tcPr>
          <w:p>
            <w:pPr>
              <w:jc w:val="right"/>
              <w:ind w:right="1271"/>
              <w:spacing w:after="0"/>
              <w:rPr>
                <w:sz w:val="20"/>
                <w:szCs w:val="20"/>
                <w:color w:val="auto"/>
              </w:rPr>
            </w:pPr>
            <w:r>
              <w:rPr>
                <w:rFonts w:ascii="Times New Roman" w:cs="Times New Roman" w:eastAsia="Times New Roman" w:hAnsi="Times New Roman"/>
                <w:sz w:val="14"/>
                <w:szCs w:val="14"/>
                <w:b w:val="1"/>
                <w:bCs w:val="1"/>
                <w:color w:val="auto"/>
              </w:rPr>
              <w:t>51-0350842</w:t>
            </w:r>
          </w:p>
        </w:tc>
        <w:tc>
          <w:tcPr>
            <w:tcW w:w="0" w:type="dxa"/>
            <w:vAlign w:val="bottom"/>
          </w:tcPr>
          <w:p>
            <w:pPr>
              <w:spacing w:after="0"/>
              <w:rPr>
                <w:sz w:val="1"/>
                <w:szCs w:val="1"/>
                <w:color w:val="auto"/>
              </w:rPr>
            </w:pPr>
          </w:p>
        </w:tc>
      </w:tr>
      <w:tr>
        <w:trPr>
          <w:trHeight w:val="134"/>
        </w:trPr>
        <w:tc>
          <w:tcPr>
            <w:tcW w:w="4680" w:type="dxa"/>
            <w:vAlign w:val="bottom"/>
            <w:gridSpan w:val="2"/>
          </w:tcPr>
          <w:p>
            <w:pPr>
              <w:jc w:val="center"/>
              <w:ind w:right="2051"/>
              <w:spacing w:after="0" w:line="135" w:lineRule="exact"/>
              <w:rPr>
                <w:sz w:val="20"/>
                <w:szCs w:val="20"/>
                <w:color w:val="auto"/>
              </w:rPr>
            </w:pPr>
            <w:r>
              <w:rPr>
                <w:rFonts w:ascii="Times New Roman" w:cs="Times New Roman" w:eastAsia="Times New Roman" w:hAnsi="Times New Roman"/>
                <w:sz w:val="14"/>
                <w:szCs w:val="14"/>
                <w:color w:val="auto"/>
                <w:w w:val="98"/>
              </w:rPr>
              <w:t>(State or Other Jurisdiction of</w:t>
            </w:r>
          </w:p>
        </w:tc>
        <w:tc>
          <w:tcPr>
            <w:tcW w:w="1020" w:type="dxa"/>
            <w:vAlign w:val="bottom"/>
          </w:tcPr>
          <w:p>
            <w:pPr>
              <w:spacing w:after="0"/>
              <w:rPr>
                <w:sz w:val="11"/>
                <w:szCs w:val="11"/>
                <w:color w:val="auto"/>
              </w:rPr>
            </w:pPr>
          </w:p>
        </w:tc>
        <w:tc>
          <w:tcPr>
            <w:tcW w:w="2600" w:type="dxa"/>
            <w:vAlign w:val="bottom"/>
          </w:tcPr>
          <w:p>
            <w:pPr>
              <w:jc w:val="center"/>
              <w:ind w:right="671"/>
              <w:spacing w:after="0" w:line="135" w:lineRule="exact"/>
              <w:rPr>
                <w:sz w:val="20"/>
                <w:szCs w:val="20"/>
                <w:color w:val="auto"/>
              </w:rPr>
            </w:pPr>
            <w:r>
              <w:rPr>
                <w:rFonts w:ascii="Times New Roman" w:cs="Times New Roman" w:eastAsia="Times New Roman" w:hAnsi="Times New Roman"/>
                <w:sz w:val="14"/>
                <w:szCs w:val="14"/>
                <w:color w:val="auto"/>
                <w:w w:val="98"/>
              </w:rPr>
              <w:t>(I.R.S. Employer</w:t>
            </w:r>
          </w:p>
        </w:tc>
        <w:tc>
          <w:tcPr>
            <w:tcW w:w="0" w:type="dxa"/>
            <w:vAlign w:val="bottom"/>
          </w:tcPr>
          <w:p>
            <w:pPr>
              <w:spacing w:after="0"/>
              <w:rPr>
                <w:sz w:val="1"/>
                <w:szCs w:val="1"/>
                <w:color w:val="auto"/>
              </w:rPr>
            </w:pPr>
          </w:p>
        </w:tc>
      </w:tr>
      <w:tr>
        <w:trPr>
          <w:trHeight w:val="178"/>
        </w:trPr>
        <w:tc>
          <w:tcPr>
            <w:tcW w:w="4680" w:type="dxa"/>
            <w:vAlign w:val="bottom"/>
            <w:gridSpan w:val="2"/>
          </w:tcPr>
          <w:p>
            <w:pPr>
              <w:jc w:val="center"/>
              <w:ind w:right="2031"/>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1020" w:type="dxa"/>
            <w:vAlign w:val="bottom"/>
          </w:tcPr>
          <w:p>
            <w:pPr>
              <w:spacing w:after="0"/>
              <w:rPr>
                <w:sz w:val="15"/>
                <w:szCs w:val="15"/>
                <w:color w:val="auto"/>
              </w:rPr>
            </w:pPr>
          </w:p>
        </w:tc>
        <w:tc>
          <w:tcPr>
            <w:tcW w:w="2600" w:type="dxa"/>
            <w:vAlign w:val="bottom"/>
          </w:tcPr>
          <w:p>
            <w:pPr>
              <w:jc w:val="center"/>
              <w:ind w:right="671"/>
              <w:spacing w:after="0"/>
              <w:rPr>
                <w:sz w:val="20"/>
                <w:szCs w:val="20"/>
                <w:color w:val="auto"/>
              </w:rPr>
            </w:pPr>
            <w:r>
              <w:rPr>
                <w:rFonts w:ascii="Times New Roman" w:cs="Times New Roman" w:eastAsia="Times New Roman" w:hAnsi="Times New Roman"/>
                <w:sz w:val="14"/>
                <w:szCs w:val="14"/>
                <w:color w:val="auto"/>
                <w:w w:val="97"/>
              </w:rPr>
              <w:t>Identification No.)</w:t>
            </w:r>
          </w:p>
        </w:tc>
        <w:tc>
          <w:tcPr>
            <w:tcW w:w="0" w:type="dxa"/>
            <w:vAlign w:val="bottom"/>
          </w:tcPr>
          <w:p>
            <w:pPr>
              <w:spacing w:after="0"/>
              <w:rPr>
                <w:sz w:val="1"/>
                <w:szCs w:val="1"/>
                <w:color w:val="auto"/>
              </w:rPr>
            </w:pPr>
          </w:p>
        </w:tc>
      </w:tr>
      <w:tr>
        <w:trPr>
          <w:trHeight w:val="151"/>
        </w:trPr>
        <w:tc>
          <w:tcPr>
            <w:tcW w:w="1920" w:type="dxa"/>
            <w:vAlign w:val="bottom"/>
          </w:tcPr>
          <w:p>
            <w:pPr>
              <w:jc w:val="center"/>
              <w:ind w:left="562"/>
              <w:spacing w:after="0" w:line="151" w:lineRule="exact"/>
              <w:rPr>
                <w:sz w:val="20"/>
                <w:szCs w:val="20"/>
                <w:color w:val="auto"/>
              </w:rPr>
            </w:pPr>
            <w:r>
              <w:rPr>
                <w:rFonts w:ascii="Times New Roman" w:cs="Times New Roman" w:eastAsia="Times New Roman" w:hAnsi="Times New Roman"/>
                <w:sz w:val="14"/>
                <w:szCs w:val="14"/>
                <w:b w:val="1"/>
                <w:bCs w:val="1"/>
                <w:color w:val="auto"/>
                <w:w w:val="96"/>
              </w:rPr>
              <w:t>110 West 44th Street</w:t>
            </w:r>
          </w:p>
        </w:tc>
        <w:tc>
          <w:tcPr>
            <w:tcW w:w="2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vMerge w:val="restart"/>
          </w:tcPr>
          <w:p>
            <w:pPr>
              <w:jc w:val="right"/>
              <w:ind w:right="1431"/>
              <w:spacing w:after="0"/>
              <w:rPr>
                <w:sz w:val="20"/>
                <w:szCs w:val="20"/>
                <w:color w:val="auto"/>
              </w:rPr>
            </w:pPr>
            <w:r>
              <w:rPr>
                <w:rFonts w:ascii="Times New Roman" w:cs="Times New Roman" w:eastAsia="Times New Roman" w:hAnsi="Times New Roman"/>
                <w:sz w:val="14"/>
                <w:szCs w:val="14"/>
                <w:b w:val="1"/>
                <w:bCs w:val="1"/>
                <w:color w:val="auto"/>
              </w:rPr>
              <w:t>10036</w:t>
            </w:r>
          </w:p>
        </w:tc>
        <w:tc>
          <w:tcPr>
            <w:tcW w:w="0" w:type="dxa"/>
            <w:vAlign w:val="bottom"/>
          </w:tcPr>
          <w:p>
            <w:pPr>
              <w:spacing w:after="0"/>
              <w:rPr>
                <w:sz w:val="1"/>
                <w:szCs w:val="1"/>
                <w:color w:val="auto"/>
              </w:rPr>
            </w:pPr>
          </w:p>
        </w:tc>
      </w:tr>
      <w:tr>
        <w:trPr>
          <w:trHeight w:val="142"/>
        </w:trPr>
        <w:tc>
          <w:tcPr>
            <w:tcW w:w="1920" w:type="dxa"/>
            <w:vAlign w:val="bottom"/>
          </w:tcPr>
          <w:p>
            <w:pPr>
              <w:jc w:val="center"/>
              <w:ind w:left="582"/>
              <w:spacing w:after="0" w:line="142" w:lineRule="exact"/>
              <w:rPr>
                <w:sz w:val="20"/>
                <w:szCs w:val="20"/>
                <w:color w:val="auto"/>
              </w:rPr>
            </w:pPr>
            <w:r>
              <w:rPr>
                <w:rFonts w:ascii="Times New Roman" w:cs="Times New Roman" w:eastAsia="Times New Roman" w:hAnsi="Times New Roman"/>
                <w:sz w:val="14"/>
                <w:szCs w:val="14"/>
                <w:b w:val="1"/>
                <w:bCs w:val="1"/>
                <w:color w:val="auto"/>
                <w:w w:val="94"/>
              </w:rPr>
              <w:t>New York, New York</w:t>
            </w:r>
          </w:p>
        </w:tc>
        <w:tc>
          <w:tcPr>
            <w:tcW w:w="2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80" w:type="dxa"/>
            <w:vAlign w:val="bottom"/>
            <w:gridSpan w:val="2"/>
          </w:tcPr>
          <w:p>
            <w:pPr>
              <w:jc w:val="center"/>
              <w:ind w:right="2031"/>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020" w:type="dxa"/>
            <w:vAlign w:val="bottom"/>
          </w:tcPr>
          <w:p>
            <w:pPr>
              <w:spacing w:after="0"/>
              <w:rPr>
                <w:sz w:val="15"/>
                <w:szCs w:val="15"/>
                <w:color w:val="auto"/>
              </w:rPr>
            </w:pPr>
          </w:p>
        </w:tc>
        <w:tc>
          <w:tcPr>
            <w:tcW w:w="2600" w:type="dxa"/>
            <w:vAlign w:val="bottom"/>
          </w:tcPr>
          <w:p>
            <w:pPr>
              <w:jc w:val="center"/>
              <w:ind w:right="671"/>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79"/>
        </w:trPr>
        <w:tc>
          <w:tcPr>
            <w:tcW w:w="1920" w:type="dxa"/>
            <w:vAlign w:val="bottom"/>
          </w:tcPr>
          <w:p>
            <w:pPr>
              <w:spacing w:after="0"/>
              <w:rPr>
                <w:sz w:val="24"/>
                <w:szCs w:val="24"/>
                <w:color w:val="auto"/>
              </w:rPr>
            </w:pPr>
          </w:p>
        </w:tc>
        <w:tc>
          <w:tcPr>
            <w:tcW w:w="6380" w:type="dxa"/>
            <w:vAlign w:val="bottom"/>
            <w:gridSpan w:val="3"/>
          </w:tcPr>
          <w:p>
            <w:pPr>
              <w:jc w:val="center"/>
              <w:ind w:right="2231"/>
              <w:spacing w:after="0"/>
              <w:rPr>
                <w:sz w:val="20"/>
                <w:szCs w:val="20"/>
                <w:color w:val="auto"/>
              </w:rPr>
            </w:pPr>
            <w:r>
              <w:rPr>
                <w:rFonts w:ascii="Times New Roman" w:cs="Times New Roman" w:eastAsia="Times New Roman" w:hAnsi="Times New Roman"/>
                <w:sz w:val="14"/>
                <w:szCs w:val="14"/>
                <w:color w:val="auto"/>
                <w:w w:val="97"/>
              </w:rPr>
              <w:t xml:space="preserve">Registrant's Telephone Number, Including Area Code: </w:t>
            </w:r>
            <w:r>
              <w:rPr>
                <w:rFonts w:ascii="Times New Roman" w:cs="Times New Roman" w:eastAsia="Times New Roman" w:hAnsi="Times New Roman"/>
                <w:sz w:val="14"/>
                <w:szCs w:val="14"/>
                <w:b w:val="1"/>
                <w:bCs w:val="1"/>
                <w:color w:val="auto"/>
                <w:w w:val="97"/>
              </w:rPr>
              <w:t>(646) 536-2842</w:t>
            </w: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378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9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760" w:type="dxa"/>
            <w:vAlign w:val="bottom"/>
          </w:tcPr>
          <w:p>
            <w:pPr>
              <w:jc w:val="center"/>
              <w:ind w:left="1231"/>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10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193"/>
        </w:trPr>
        <w:tc>
          <w:tcPr>
            <w:tcW w:w="192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8"/>
              </w:rPr>
              <w:t>Common Stock, $0.01 par value</w:t>
            </w:r>
          </w:p>
        </w:tc>
        <w:tc>
          <w:tcPr>
            <w:tcW w:w="2760" w:type="dxa"/>
            <w:vAlign w:val="bottom"/>
          </w:tcPr>
          <w:p>
            <w:pPr>
              <w:jc w:val="center"/>
              <w:ind w:left="1231"/>
              <w:spacing w:after="0"/>
              <w:rPr>
                <w:sz w:val="20"/>
                <w:szCs w:val="20"/>
                <w:color w:val="auto"/>
              </w:rPr>
            </w:pPr>
            <w:r>
              <w:rPr>
                <w:rFonts w:ascii="Times New Roman" w:cs="Times New Roman" w:eastAsia="Times New Roman" w:hAnsi="Times New Roman"/>
                <w:sz w:val="14"/>
                <w:szCs w:val="14"/>
                <w:color w:val="auto"/>
                <w:w w:val="93"/>
              </w:rPr>
              <w:t>TTWO</w:t>
            </w:r>
          </w:p>
        </w:tc>
        <w:tc>
          <w:tcPr>
            <w:tcW w:w="10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 Global Select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0" w:lineRule="exact"/>
        <w:rPr>
          <w:sz w:val="24"/>
          <w:szCs w:val="24"/>
          <w:color w:val="auto"/>
        </w:rPr>
      </w:pPr>
    </w:p>
    <w:p>
      <w:pPr>
        <w:spacing w:after="0" w:line="161" w:lineRule="exact"/>
        <w:tabs>
          <w:tab w:leader="none" w:pos="656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10" w:lineRule="exact"/>
        <w:rPr>
          <w:sz w:val="24"/>
          <w:szCs w:val="24"/>
          <w:color w:val="auto"/>
        </w:rPr>
      </w:pPr>
    </w:p>
    <w:p>
      <w:pPr>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r>
        <w:rPr>
          <w:sz w:val="20"/>
          <w:szCs w:val="20"/>
          <w:color w:val="auto"/>
        </w:rPr>
        <w:tab/>
      </w: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5"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7"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0"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8" w:lineRule="exact"/>
        <w:rPr>
          <w:sz w:val="24"/>
          <w:szCs w:val="24"/>
          <w:color w:val="auto"/>
        </w:rPr>
      </w:pPr>
    </w:p>
    <w:p>
      <w:pPr>
        <w:ind w:left="240"/>
        <w:spacing w:after="0" w:line="161" w:lineRule="exact"/>
        <w:tabs>
          <w:tab w:leader="none" w:pos="2240" w:val="left"/>
          <w:tab w:leader="none" w:pos="4640" w:val="left"/>
          <w:tab w:leader="none" w:pos="7100" w:val="left"/>
          <w:tab w:leader="none" w:pos="91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83" w:lineRule="exact"/>
        <w:rPr>
          <w:sz w:val="24"/>
          <w:szCs w:val="24"/>
          <w:color w:val="auto"/>
        </w:rPr>
      </w:pPr>
    </w:p>
    <w:p>
      <w:pPr>
        <w:ind w:right="500"/>
        <w:spacing w:after="0" w:line="29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3"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0" w:lineRule="exact"/>
        <w:rPr>
          <w:sz w:val="24"/>
          <w:szCs w:val="24"/>
          <w:color w:val="auto"/>
        </w:rPr>
      </w:pPr>
    </w:p>
    <w:p>
      <w:pPr>
        <w:ind w:right="320"/>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73" w:lineRule="exact"/>
        <w:tabs>
          <w:tab w:leader="none" w:pos="63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2"/>
          <w:szCs w:val="12"/>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$26,579,762,843.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5, 2025, there were 177,424,908 shares of the Registrant's Common Stock outstanding, net of treasury stock.</w:t>
      </w:r>
    </w:p>
    <w:p>
      <w:pPr>
        <w:spacing w:after="0" w:line="9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2025 Annual Meeting of Stockholders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513080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51435</wp:posOffset>
            </wp:positionV>
            <wp:extent cx="654939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9390" cy="165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10"/>
          </w:tcPr>
          <w:p>
            <w:pPr>
              <w:jc w:val="center"/>
              <w:ind w:right="480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360" w:type="dxa"/>
            <w:vAlign w:val="bottom"/>
            <w:gridSpan w:val="10"/>
            <w:vMerge w:val="restart"/>
          </w:tcPr>
          <w:p>
            <w:pPr>
              <w:jc w:val="center"/>
              <w:ind w:right="4800"/>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360" w:type="dxa"/>
            <w:vAlign w:val="bottom"/>
            <w:gridSpan w:val="10"/>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r>
              <w:rPr>
                <w:rFonts w:ascii="Times New Roman" w:cs="Times New Roman" w:eastAsia="Times New Roman" w:hAnsi="Times New Roman"/>
                <w:sz w:val="17"/>
                <w:szCs w:val="17"/>
                <w:color w:val="000000"/>
              </w:rPr>
              <w:t>.</w:t>
            </w:r>
          </w:p>
        </w:tc>
        <w:tc>
          <w:tcPr>
            <w:tcW w:w="42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Business</w:t>
            </w:r>
          </w:p>
        </w:tc>
        <w:tc>
          <w:tcPr>
            <w:tcW w:w="560" w:type="dxa"/>
            <w:vAlign w:val="bottom"/>
            <w:tcBorders>
              <w:top w:val="single" w:sz="8" w:color="0000FF"/>
            </w:tcBorders>
            <w:gridSpan w:val="2"/>
          </w:tcPr>
          <w:p>
            <w:pPr>
              <w:spacing w:after="0"/>
              <w:rPr>
                <w:sz w:val="17"/>
                <w:szCs w:val="17"/>
                <w:color w:val="auto"/>
              </w:rPr>
            </w:pPr>
          </w:p>
        </w:tc>
        <w:tc>
          <w:tcPr>
            <w:tcW w:w="4800" w:type="dxa"/>
            <w:vAlign w:val="bottom"/>
            <w:gridSpan w:val="8"/>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1A.</w:t>
            </w:r>
          </w:p>
        </w:tc>
        <w:tc>
          <w:tcPr>
            <w:tcW w:w="520" w:type="dxa"/>
            <w:vAlign w:val="bottom"/>
          </w:tcPr>
          <w:p>
            <w:pPr>
              <w:spacing w:after="0"/>
              <w:rPr>
                <w:sz w:val="17"/>
                <w:szCs w:val="17"/>
                <w:color w:val="auto"/>
              </w:rPr>
            </w:pP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1B.</w:t>
            </w:r>
          </w:p>
        </w:tc>
        <w:tc>
          <w:tcPr>
            <w:tcW w:w="520" w:type="dxa"/>
            <w:vAlign w:val="bottom"/>
          </w:tcPr>
          <w:p>
            <w:pPr>
              <w:spacing w:after="0"/>
              <w:rPr>
                <w:sz w:val="17"/>
                <w:szCs w:val="17"/>
                <w:color w:val="auto"/>
              </w:rPr>
            </w:pP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1C.</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2.</w:t>
            </w:r>
          </w:p>
        </w:tc>
        <w:tc>
          <w:tcPr>
            <w:tcW w:w="5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8640" w:type="dxa"/>
            <w:vAlign w:val="bottom"/>
            <w:gridSpan w:val="24"/>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47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5.</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6.</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[Reserved]</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7A.</w:t>
            </w:r>
          </w:p>
        </w:tc>
        <w:tc>
          <w:tcPr>
            <w:tcW w:w="520" w:type="dxa"/>
            <w:vAlign w:val="bottom"/>
          </w:tcPr>
          <w:p>
            <w:pPr>
              <w:spacing w:after="0"/>
              <w:rPr>
                <w:sz w:val="17"/>
                <w:szCs w:val="17"/>
                <w:color w:val="auto"/>
              </w:rPr>
            </w:pP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8.</w:t>
            </w:r>
          </w:p>
        </w:tc>
        <w:tc>
          <w:tcPr>
            <w:tcW w:w="520" w:type="dxa"/>
            <w:vAlign w:val="bottom"/>
          </w:tcPr>
          <w:p>
            <w:pPr>
              <w:spacing w:after="0"/>
              <w:rPr>
                <w:sz w:val="17"/>
                <w:szCs w:val="17"/>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440" w:type="dxa"/>
            <w:vAlign w:val="bottom"/>
            <w:gridSpan w:val="14"/>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9A.</w:t>
            </w:r>
          </w:p>
        </w:tc>
        <w:tc>
          <w:tcPr>
            <w:tcW w:w="520" w:type="dxa"/>
            <w:vAlign w:val="bottom"/>
          </w:tcPr>
          <w:p>
            <w:pPr>
              <w:spacing w:after="0"/>
              <w:rPr>
                <w:sz w:val="17"/>
                <w:szCs w:val="17"/>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7900" w:type="dxa"/>
            <w:vAlign w:val="bottom"/>
            <w:gridSpan w:val="21"/>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9B.</w:t>
            </w:r>
          </w:p>
        </w:tc>
        <w:tc>
          <w:tcPr>
            <w:tcW w:w="520" w:type="dxa"/>
            <w:vAlign w:val="bottom"/>
          </w:tcPr>
          <w:p>
            <w:pPr>
              <w:spacing w:after="0"/>
              <w:rPr>
                <w:sz w:val="17"/>
                <w:szCs w:val="17"/>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900" w:type="dxa"/>
            <w:vAlign w:val="bottom"/>
            <w:gridSpan w:val="21"/>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9C.</w:t>
            </w: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0000FF"/>
            </w:tcBorders>
            <w:gridSpan w:val="8"/>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0000FF"/>
                <w:w w:val="99"/>
              </w:rPr>
              <w:t>PART III</w:t>
            </w:r>
          </w:p>
        </w:tc>
        <w:tc>
          <w:tcPr>
            <w:tcW w:w="4720" w:type="dxa"/>
            <w:vAlign w:val="bottom"/>
            <w:gridSpan w:val="5"/>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10.</w:t>
            </w:r>
          </w:p>
        </w:tc>
        <w:tc>
          <w:tcPr>
            <w:tcW w:w="520" w:type="dxa"/>
            <w:vAlign w:val="bottom"/>
          </w:tcPr>
          <w:p>
            <w:pPr>
              <w:spacing w:after="0"/>
              <w:rPr>
                <w:sz w:val="17"/>
                <w:szCs w:val="17"/>
                <w:color w:val="auto"/>
              </w:rPr>
            </w:pPr>
          </w:p>
        </w:tc>
        <w:tc>
          <w:tcPr>
            <w:tcW w:w="392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5680" w:type="dxa"/>
            <w:vAlign w:val="bottom"/>
            <w:gridSpan w:val="15"/>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520" w:type="dxa"/>
            <w:vAlign w:val="bottom"/>
          </w:tcPr>
          <w:p>
            <w:pPr>
              <w:spacing w:after="0"/>
              <w:rPr>
                <w:sz w:val="17"/>
                <w:szCs w:val="17"/>
                <w:color w:val="auto"/>
              </w:rPr>
            </w:pPr>
          </w:p>
        </w:tc>
        <w:tc>
          <w:tcPr>
            <w:tcW w:w="392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680" w:type="dxa"/>
            <w:vAlign w:val="bottom"/>
            <w:gridSpan w:val="15"/>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12.</w:t>
            </w:r>
          </w:p>
        </w:tc>
        <w:tc>
          <w:tcPr>
            <w:tcW w:w="520" w:type="dxa"/>
            <w:vAlign w:val="bottom"/>
          </w:tcPr>
          <w:p>
            <w:pPr>
              <w:spacing w:after="0"/>
              <w:rPr>
                <w:sz w:val="17"/>
                <w:szCs w:val="17"/>
                <w:color w:val="auto"/>
              </w:rPr>
            </w:pPr>
          </w:p>
        </w:tc>
        <w:tc>
          <w:tcPr>
            <w:tcW w:w="96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13.</w:t>
            </w:r>
          </w:p>
        </w:tc>
        <w:tc>
          <w:tcPr>
            <w:tcW w:w="520" w:type="dxa"/>
            <w:vAlign w:val="bottom"/>
          </w:tcPr>
          <w:p>
            <w:pPr>
              <w:spacing w:after="0"/>
              <w:rPr>
                <w:sz w:val="17"/>
                <w:szCs w:val="17"/>
                <w:color w:val="auto"/>
              </w:rPr>
            </w:pPr>
          </w:p>
        </w:tc>
        <w:tc>
          <w:tcPr>
            <w:tcW w:w="69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2640" w:type="dxa"/>
            <w:vAlign w:val="bottom"/>
            <w:gridSpan w:val="2"/>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14.</w:t>
            </w:r>
          </w:p>
        </w:tc>
        <w:tc>
          <w:tcPr>
            <w:tcW w:w="520" w:type="dxa"/>
            <w:vAlign w:val="bottom"/>
          </w:tcPr>
          <w:p>
            <w:pPr>
              <w:spacing w:after="0"/>
              <w:rPr>
                <w:sz w:val="17"/>
                <w:szCs w:val="17"/>
                <w:color w:val="auto"/>
              </w:rPr>
            </w:pPr>
          </w:p>
        </w:tc>
        <w:tc>
          <w:tcPr>
            <w:tcW w:w="52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4400" w:type="dxa"/>
            <w:vAlign w:val="bottom"/>
            <w:gridSpan w:val="4"/>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12"/>
          </w:tcPr>
          <w:p>
            <w:pPr>
              <w:jc w:val="center"/>
              <w:ind w:right="4740"/>
              <w:spacing w:after="0"/>
              <w:rPr>
                <w:sz w:val="20"/>
                <w:szCs w:val="20"/>
                <w:color w:val="auto"/>
              </w:rPr>
            </w:pPr>
            <w:r>
              <w:rPr>
                <w:rFonts w:ascii="Times New Roman" w:cs="Times New Roman" w:eastAsia="Times New Roman" w:hAnsi="Times New Roman"/>
                <w:sz w:val="17"/>
                <w:szCs w:val="17"/>
                <w:b w:val="1"/>
                <w:bCs w:val="1"/>
                <w:color w:val="0000FF"/>
                <w:w w:val="95"/>
              </w:rPr>
              <w:t>PART IV</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15.</w:t>
            </w:r>
          </w:p>
        </w:tc>
        <w:tc>
          <w:tcPr>
            <w:tcW w:w="520" w:type="dxa"/>
            <w:vAlign w:val="bottom"/>
          </w:tcPr>
          <w:p>
            <w:pPr>
              <w:spacing w:after="0"/>
              <w:rPr>
                <w:sz w:val="17"/>
                <w:szCs w:val="17"/>
                <w:color w:val="auto"/>
              </w:rPr>
            </w:pPr>
          </w:p>
        </w:tc>
        <w:tc>
          <w:tcPr>
            <w:tcW w:w="278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1420" w:type="dxa"/>
            <w:vAlign w:val="bottom"/>
            <w:gridSpan w:val="5"/>
          </w:tcPr>
          <w:p>
            <w:pPr>
              <w:spacing w:after="0"/>
              <w:rPr>
                <w:sz w:val="17"/>
                <w:szCs w:val="17"/>
                <w:color w:val="auto"/>
              </w:rPr>
            </w:pPr>
          </w:p>
        </w:tc>
        <w:tc>
          <w:tcPr>
            <w:tcW w:w="660" w:type="dxa"/>
            <w:vAlign w:val="bottom"/>
            <w:tcBorders>
              <w:top w:val="single" w:sz="8" w:color="0000FF"/>
            </w:tcBorders>
            <w:gridSpan w:val="6"/>
          </w:tcPr>
          <w:p>
            <w:pPr>
              <w:spacing w:after="0"/>
              <w:rPr>
                <w:sz w:val="17"/>
                <w:szCs w:val="17"/>
                <w:color w:val="auto"/>
              </w:rPr>
            </w:pPr>
          </w:p>
        </w:tc>
        <w:tc>
          <w:tcPr>
            <w:tcW w:w="4740" w:type="dxa"/>
            <w:vAlign w:val="bottom"/>
            <w:gridSpan w:val="6"/>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2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16.</w:t>
            </w:r>
          </w:p>
        </w:tc>
        <w:tc>
          <w:tcPr>
            <w:tcW w:w="520" w:type="dxa"/>
            <w:vAlign w:val="bottom"/>
          </w:tcPr>
          <w:p>
            <w:pPr>
              <w:spacing w:after="0"/>
              <w:rPr>
                <w:sz w:val="17"/>
                <w:szCs w:val="17"/>
                <w:color w:val="auto"/>
              </w:rPr>
            </w:pPr>
          </w:p>
        </w:tc>
        <w:tc>
          <w:tcPr>
            <w:tcW w:w="278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6820" w:type="dxa"/>
            <w:vAlign w:val="bottom"/>
            <w:gridSpan w:val="17"/>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54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Index to Financial Statements</w:t>
            </w:r>
          </w:p>
        </w:tc>
        <w:tc>
          <w:tcPr>
            <w:tcW w:w="7540" w:type="dxa"/>
            <w:vAlign w:val="bottom"/>
            <w:gridSpan w:val="19"/>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754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7540" w:type="dxa"/>
            <w:vAlign w:val="bottom"/>
            <w:gridSpan w:val="19"/>
          </w:tcPr>
          <w:p>
            <w:pPr>
              <w:spacing w:after="0"/>
              <w:rPr>
                <w:sz w:val="17"/>
                <w:szCs w:val="17"/>
                <w:color w:val="auto"/>
              </w:rPr>
            </w:pP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107</w:t>
            </w:r>
          </w:p>
        </w:tc>
        <w:tc>
          <w:tcPr>
            <w:tcW w:w="0" w:type="dxa"/>
            <w:vAlign w:val="bottom"/>
          </w:tcPr>
          <w:p>
            <w:pPr>
              <w:spacing w:after="0"/>
              <w:rPr>
                <w:sz w:val="1"/>
                <w:szCs w:val="1"/>
                <w:color w:val="auto"/>
              </w:rPr>
            </w:pPr>
          </w:p>
        </w:tc>
      </w:tr>
      <w:tr>
        <w:trPr>
          <w:trHeight w:val="1494"/>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CAUTIONARY NOTE ABOUT FORWARD-LOOKING STATEMENTS</w:t>
      </w:r>
    </w:p>
    <w:p>
      <w:pPr>
        <w:spacing w:after="0" w:line="14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i w:val="1"/>
          <w:iCs w:val="1"/>
          <w:color w:val="auto"/>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PlayStation®5 and Xbox Series X|S; factors affecting our mobile business, such as player acquisition costs; and the ability to maintain acceptable pricing levels on our games; and other risks included herein; as well as, but not limited to, the risks and uncertainties discussed under the heading "</w:t>
      </w:r>
      <w:r>
        <w:rPr>
          <w:rFonts w:ascii="Times New Roman" w:cs="Times New Roman" w:eastAsia="Times New Roman" w:hAnsi="Times New Roman"/>
          <w:sz w:val="17"/>
          <w:szCs w:val="17"/>
          <w:i w:val="1"/>
          <w:iCs w:val="1"/>
          <w:u w:val="single" w:color="auto"/>
          <w:color w:val="0000FF"/>
        </w:rPr>
        <w:t>Risk Factors</w:t>
      </w:r>
      <w:r>
        <w:rPr>
          <w:rFonts w:ascii="Times New Roman" w:cs="Times New Roman" w:eastAsia="Times New Roman" w:hAnsi="Times New Roman"/>
          <w:sz w:val="17"/>
          <w:szCs w:val="17"/>
          <w:i w:val="1"/>
          <w:iCs w:val="1"/>
          <w:color w:val="auto"/>
        </w:rPr>
        <w:t>" included in Part I, Item 1A herein.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 figures are in millions, except per share amounts, employee figures, or as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3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5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are a leading developer, publisher, and marketer of interactive entertainment for consumers around the globe. We develop, operate, and publish products principally through Rockstar Games, 2K, and Zynga. In October 2024, we sold our Private Division label, including our rights to substantially all of the label's titles. Our products are designed for console gaming systems, including, but not limited to, the Sony Computer Entertainment, Inc. ("Sony") PlayStation®4 ("PS4") and PlayStation5 ("PS5"), the Microsoft Corporation ("Microsoft") Xbox One® ("Xbox One") and Xbox Series X|S ("Xbox Series X|S"), and the Nintendo Switch</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("Switch"), as well as mobile, including smartphones and tablets, and personal computers ("PC"). We deliver our products through physical retail, digital download, online platforms, and cloud streaming services.</w:t>
      </w:r>
    </w:p>
    <w:p>
      <w:pPr>
        <w:spacing w:after="0" w:line="11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Our website address is www.take2games.com. We make all of our filings with the Securities and Exchange Commission ("SEC") available free of charge on our website under the caption "Financial Information—SEC Filings." Included in these filings are our annual reports on Form 10-K, quarterly reports on Form 10-Q, current reports on Form 8-K, and amendments to those reports, which are available as soon as reasonably practicable after we electronically file or furnish such materials with the SEC pursuant to Section 13(a) or 15(d) of the Securities Exchange Act of 1934, as amended (the "Exchange Act"). Our website and the information contained therein or connected thereto are not intended to be incorporated into this Annual Report on Form 10-K. The SEC maintains a website that contains annual, quarterly and current reports, proxy and information statements and other information that issuers (including the Company) file electronically with the SEC. The SEC's website is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1"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Overview. </w:t>
      </w:r>
      <w:r>
        <w:rPr>
          <w:rFonts w:ascii="Times New Roman" w:cs="Times New Roman" w:eastAsia="Times New Roman" w:hAnsi="Times New Roman"/>
          <w:sz w:val="17"/>
          <w:szCs w:val="17"/>
          <w:color w:val="auto"/>
        </w:rPr>
        <w:t>Our strategy is to create hit entertainment experiences, delivered on every platform relevant to our audience through a variety of sound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models. Our pillars - creativity, innovation, and efficiency - guide us as we strive to create the highest quality, most captivating experiences for our consumers. We believe that our player-first approach and commitment to creativity and innovation are distinguishing strengths, enabling us to differentiate our products in the marketplace by combining advanced technology with compelling storylines and characters that provide unique, deeply engaging gameplay experiences.</w:t>
      </w:r>
    </w:p>
    <w:p>
      <w:pPr>
        <w:spacing w:after="0" w:line="30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teams have established a portfolio of proprietary software content for the major hardware and mobile platforms, and we aim to be at the forefront of technological innovation. We have a diverse portfolio that spans all key platforms and numerous genres, including action, adventure, family, casual, hyper-casual, role-playing, shooter, social casino, sports, and strategy. This enables us to appeal to a wide array of consumers and demographic groups worldwide, ranging from game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 w:name="page4"/>
    <w:bookmarkEnd w:id="3"/>
    <w:p>
      <w:pPr>
        <w:jc w:val="both"/>
        <w:spacing w:after="0" w:line="270" w:lineRule="auto"/>
        <w:rPr>
          <w:sz w:val="20"/>
          <w:szCs w:val="20"/>
          <w:color w:val="auto"/>
        </w:rPr>
      </w:pPr>
      <w:r>
        <w:rPr>
          <w:rFonts w:ascii="Times New Roman" w:cs="Times New Roman" w:eastAsia="Times New Roman" w:hAnsi="Times New Roman"/>
          <w:sz w:val="17"/>
          <w:szCs w:val="17"/>
          <w:color w:val="auto"/>
        </w:rPr>
        <w:t>enthusiasts to casual gamers. Most of our intellectual property is internally owned and developed, which we believe best positions us financially and competitively. In addition, we license selectively some highly recognizable renowned brands, especially in sports entertainment. We support our products with innovative marketing programs created by our internal global marketing teams.</w:t>
      </w:r>
    </w:p>
    <w:p>
      <w:pPr>
        <w:spacing w:after="0" w:line="95"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Attract and Retain the Best Talent in the Business. </w:t>
      </w:r>
      <w:r>
        <w:rPr>
          <w:rFonts w:ascii="Times New Roman" w:cs="Times New Roman" w:eastAsia="Times New Roman" w:hAnsi="Times New Roman"/>
          <w:sz w:val="17"/>
          <w:szCs w:val="17"/>
          <w:color w:val="auto"/>
        </w:rPr>
        <w:t>Our headcount includes 12,928 full-time employees as of March 31, 2025, including 10,096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studios. We are proud of the culture we have established and believe that it enables us to attract and retain some of the most talented individuals in our industry and consistently set new benchmarks for excellence. By empowering our colleagues to embrace an entrepreneurial mindset and to take calculated risks, we believe that we have created an environment where our people can thrive. We believe that we deploy best-in-class recruiting practices to attract new talent and encourage our people to pursue satisfying, long-term career opportunities with us by providing competitive compensation plans that align our people with our shareholders, extensive employee benefits and well-being programs, and numerous learning and development programs to encourage career growth and progression.</w:t>
      </w:r>
    </w:p>
    <w:p>
      <w:pPr>
        <w:spacing w:after="0" w:line="315" w:lineRule="exact"/>
        <w:rPr>
          <w:sz w:val="20"/>
          <w:szCs w:val="20"/>
          <w:color w:val="auto"/>
        </w:rPr>
      </w:pPr>
    </w:p>
    <w:p>
      <w:pPr>
        <w:jc w:val="both"/>
        <w:ind w:firstLine="2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Develop Robust Player Relationships. </w:t>
      </w:r>
      <w:r>
        <w:rPr>
          <w:rFonts w:ascii="Times New Roman" w:cs="Times New Roman" w:eastAsia="Times New Roman" w:hAnsi="Times New Roman"/>
          <w:sz w:val="17"/>
          <w:szCs w:val="17"/>
          <w:color w:val="auto"/>
        </w:rPr>
        <w:t>Many of our releases offer a steady cadence of post-launch content to drive further engagement with our franchises,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virtual currency, add-on content, and in-game purchases. This approach enables us to maintain consistent, positive relationships with our players, sustain ongoing relevance for our intellectual properties, and enhance the performance of our titles.</w:t>
      </w:r>
    </w:p>
    <w:p>
      <w:pPr>
        <w:spacing w:after="0" w:line="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continue to invest in tools and infrastructure to deepen our understanding of our players and to strengthen our relationships with them. This includes our customer data platform and our customer insights and analytics, which inform our go-to-market strategy and allow us to maintain ongoing communications with our players that are tailored to their interests. We also engage with emerging marketing platforms, technologies, and services to enhance our reach and capabilities, including our direct-to-consumer commerce platform, through which players can purchase in-game offerings, primarily for our mobile titles.</w:t>
      </w:r>
    </w:p>
    <w:p>
      <w:pPr>
        <w:spacing w:after="0" w:line="10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enjoyment and safety of our players is of paramount importance to us, and we are committed to providing safe, inclusive, and welcoming environments in which our communities can gather and enjoy our services free of harassment, hate speech, toxic behavior, abuse, and other offensive content and conduct.</w:t>
      </w:r>
    </w:p>
    <w:p>
      <w:pPr>
        <w:spacing w:after="0" w:line="298" w:lineRule="exact"/>
        <w:rPr>
          <w:sz w:val="20"/>
          <w:szCs w:val="20"/>
          <w:color w:val="auto"/>
        </w:rPr>
      </w:pPr>
    </w:p>
    <w:p>
      <w:pPr>
        <w:jc w:val="both"/>
        <w:ind w:firstLine="20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 Scale and Profitability. </w:t>
      </w:r>
      <w:r>
        <w:rPr>
          <w:rFonts w:ascii="Times New Roman" w:cs="Times New Roman" w:eastAsia="Times New Roman" w:hAnsi="Times New Roman"/>
          <w:sz w:val="17"/>
          <w:szCs w:val="17"/>
          <w:color w:val="auto"/>
        </w:rPr>
        <w:t>A key component of our strategy is to build a portfolio and forward pipeline of commercially successful franchises across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console, PC, and mobile platforms. We believe that we can increase our scale by launching new intellectual properties; growing our core franchises through high-quality, fresh sequels, relevant brand extensions, and robust live services; and expanding our intellectual property portfolio and talent base through strategic acquisitions and partnerships. We provide continuous recurrent consumer spending offerings to fuel player engagement and growth.</w:t>
      </w:r>
    </w:p>
    <w:p>
      <w:pPr>
        <w:spacing w:after="0" w:line="9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use a product investment review process to evaluate potential titles for investment, review existing titles in development, and assess titles after release by measuring their performance in the market and the return on our investment. We believe that our disciplined approach to product investment will enhance the competitiveness and profitability of our titles.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we grow our scale, we seek to run our business in a highly efficient manner in an effort to optimize and enhance our profitability. We regularly assess opportunities to contain or reduce costs, including leveraging shared services and technology.</w:t>
      </w:r>
    </w:p>
    <w:p>
      <w:pPr>
        <w:spacing w:after="0" w:line="8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Identify and Lead New Paradigms and Market Trends. </w:t>
      </w:r>
      <w:r>
        <w:rPr>
          <w:rFonts w:ascii="Times New Roman" w:cs="Times New Roman" w:eastAsia="Times New Roman" w:hAnsi="Times New Roman"/>
          <w:sz w:val="17"/>
          <w:szCs w:val="17"/>
          <w:color w:val="auto"/>
        </w:rPr>
        <w:t>Our teams aspire to be at the forefront of innovation in our industry. We are constantly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evaluating and investing selectively in emerging platforms, technologies, business models, and geographies that we believe will help us grow and strengthen our business. In particular, we believe that there are meaningful opportunities to expand our presence in Asia, the Middle East, and Latin America. Within these regions, China is our most established market, where we offer </w:t>
      </w:r>
      <w:r>
        <w:rPr>
          <w:rFonts w:ascii="Times New Roman" w:cs="Times New Roman" w:eastAsia="Times New Roman" w:hAnsi="Times New Roman"/>
          <w:sz w:val="17"/>
          <w:szCs w:val="17"/>
          <w:i w:val="1"/>
          <w:iCs w:val="1"/>
          <w:color w:val="auto"/>
        </w:rPr>
        <w:t>NBA 2K Online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Civilization: Eras and Allies</w:t>
      </w:r>
      <w:r>
        <w:rPr>
          <w:rFonts w:ascii="Times New Roman" w:cs="Times New Roman" w:eastAsia="Times New Roman" w:hAnsi="Times New Roman"/>
          <w:sz w:val="17"/>
          <w:szCs w:val="17"/>
          <w:color w:val="auto"/>
        </w:rPr>
        <w:t xml:space="preserve"> through our partnership with Tencent. Our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Online </w:t>
      </w:r>
      <w:r>
        <w:rPr>
          <w:rFonts w:ascii="Times New Roman" w:cs="Times New Roman" w:eastAsia="Times New Roman" w:hAnsi="Times New Roman"/>
          <w:sz w:val="17"/>
          <w:szCs w:val="17"/>
          <w:color w:val="auto"/>
        </w:rPr>
        <w:t>business is the top online PC sports game in China.</w:t>
      </w:r>
    </w:p>
    <w:p>
      <w:pPr>
        <w:spacing w:after="0" w:line="9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also direct our teams to anticipate and actively address changes in consumer behavior and technology so that we can evolve our business as new dynamics develop.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Businesses</w:t>
      </w:r>
    </w:p>
    <w:p>
      <w:pPr>
        <w:spacing w:after="0" w:line="157"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7"/>
          <w:szCs w:val="17"/>
          <w:color w:val="auto"/>
        </w:rPr>
        <w:t>We derive substantially all of our revenue from the sale of our interactive entertainment content, which includes the sale of internally developed software titles and software titles developed by third parties, the sale of in-game virtual items and advertising, and live services on console, PC, and mobile. Operating margins are dependent in part upon our ability to release new, commercially successful software products and to manage effectively their development and marketing costs. We have internal development studios located in Australia, Canada, China, Czech Republic, Finland, Germany, Hungary, India, Serbia, South Korea, Spain, Turkey, the United Kingdom ("U.K."), and the United States ("U.S."). As of March 31, 2025, we had 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 w:name="page5"/>
    <w:bookmarkEnd w:id="4"/>
    <w:p>
      <w:pPr>
        <w:jc w:val="both"/>
        <w:spacing w:after="0" w:line="287" w:lineRule="auto"/>
        <w:rPr>
          <w:sz w:val="20"/>
          <w:szCs w:val="20"/>
          <w:color w:val="auto"/>
        </w:rPr>
      </w:pPr>
      <w:r>
        <w:rPr>
          <w:rFonts w:ascii="Times New Roman" w:cs="Times New Roman" w:eastAsia="Times New Roman" w:hAnsi="Times New Roman"/>
          <w:sz w:val="17"/>
          <w:szCs w:val="17"/>
          <w:color w:val="auto"/>
        </w:rPr>
        <w:t>research and development staff of 10,096 full-time employees with the technical capabilities to develop software titles for all major consoles, PCs, and mobile platforms in multiple languages and territories.</w:t>
      </w:r>
    </w:p>
    <w:p>
      <w:pPr>
        <w:spacing w:after="0" w:line="87" w:lineRule="exact"/>
        <w:rPr>
          <w:sz w:val="20"/>
          <w:szCs w:val="20"/>
          <w:color w:val="auto"/>
        </w:rPr>
      </w:pPr>
    </w:p>
    <w:p>
      <w:pPr>
        <w:jc w:val="both"/>
        <w:ind w:firstLine="188"/>
        <w:spacing w:after="0" w:line="287" w:lineRule="auto"/>
        <w:rPr>
          <w:sz w:val="20"/>
          <w:szCs w:val="20"/>
          <w:color w:val="auto"/>
        </w:rPr>
      </w:pPr>
      <w:r>
        <w:rPr>
          <w:rFonts w:ascii="Times New Roman" w:cs="Times New Roman" w:eastAsia="Times New Roman" w:hAnsi="Times New Roman"/>
          <w:sz w:val="17"/>
          <w:szCs w:val="17"/>
          <w:color w:val="auto"/>
        </w:rPr>
        <w:t>We engage in evolving business models such as online gaming, virtual currency, add-on content, and in-game purchases, and we expect to continue to generate incremental revenue from these opportunities. We also generate revenue from advertising primarily within our mobile software products.</w:t>
      </w:r>
    </w:p>
    <w:p>
      <w:pPr>
        <w:spacing w:after="0" w:line="81" w:lineRule="exact"/>
        <w:rPr>
          <w:sz w:val="20"/>
          <w:szCs w:val="20"/>
          <w:color w:val="auto"/>
        </w:rPr>
      </w:pPr>
    </w:p>
    <w:p>
      <w:pPr>
        <w:jc w:val="both"/>
        <w:ind w:firstLine="172"/>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Rockstar Games. </w:t>
      </w:r>
      <w:r>
        <w:rPr>
          <w:rFonts w:ascii="Times New Roman" w:cs="Times New Roman" w:eastAsia="Times New Roman" w:hAnsi="Times New Roman"/>
          <w:sz w:val="17"/>
          <w:szCs w:val="17"/>
          <w:color w:val="auto"/>
        </w:rPr>
        <w:t>Rockstar Games' strategy is to develop a limited number of titles that are known for their quality and longevity in the market for which they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can create sequels and incremental revenue opportunities through virtual currency, add-on content, and in-game purchases. Software titles published by our Rockstar Games label are primarily internally developed. We expect Rockstar Games, our wholly-owned publisher of the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 Noire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Payne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Midnight Club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Red Dead Redemption</w:t>
      </w:r>
      <w:r>
        <w:rPr>
          <w:rFonts w:ascii="Times New Roman" w:cs="Times New Roman" w:eastAsia="Times New Roman" w:hAnsi="Times New Roman"/>
          <w:sz w:val="17"/>
          <w:szCs w:val="17"/>
          <w:color w:val="auto"/>
        </w:rPr>
        <w:t>, and other popular franchises, to continue to be a leader in the action/adventure product category and to create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groundbreaking entertainment. We believe that Rockstar Games has established a uniquely original, popular, cultural phenomenon with its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series, which is the interactive entertainment industry's most iconic and critically acclaimed brand and has sold-in over 445 million units worldwide. Our most recent installment, </w:t>
      </w:r>
      <w:r>
        <w:rPr>
          <w:rFonts w:ascii="Times New Roman" w:cs="Times New Roman" w:eastAsia="Times New Roman" w:hAnsi="Times New Roman"/>
          <w:sz w:val="17"/>
          <w:szCs w:val="17"/>
          <w:i w:val="1"/>
          <w:iCs w:val="1"/>
          <w:color w:val="auto"/>
        </w:rPr>
        <w:t>Grand Theft Auto V</w:t>
      </w:r>
      <w:r>
        <w:rPr>
          <w:rFonts w:ascii="Times New Roman" w:cs="Times New Roman" w:eastAsia="Times New Roman" w:hAnsi="Times New Roman"/>
          <w:sz w:val="17"/>
          <w:szCs w:val="17"/>
          <w:color w:val="auto"/>
        </w:rPr>
        <w:t xml:space="preserve">, which was released in 2013, has sold-in over 210 million units worldwide and includes access to </w:t>
      </w:r>
      <w:r>
        <w:rPr>
          <w:rFonts w:ascii="Times New Roman" w:cs="Times New Roman" w:eastAsia="Times New Roman" w:hAnsi="Times New Roman"/>
          <w:sz w:val="17"/>
          <w:szCs w:val="17"/>
          <w:i w:val="1"/>
          <w:iCs w:val="1"/>
          <w:color w:val="auto"/>
        </w:rPr>
        <w:t>Grand Theft Auto Online</w:t>
      </w:r>
      <w:r>
        <w:rPr>
          <w:rFonts w:ascii="Times New Roman" w:cs="Times New Roman" w:eastAsia="Times New Roman" w:hAnsi="Times New Roman"/>
          <w:sz w:val="17"/>
          <w:szCs w:val="17"/>
          <w:color w:val="auto"/>
        </w:rPr>
        <w:t xml:space="preserve">. Rockstar Games offers its GTA+ membership program, which engages its player community with an array of rotating benefits, including access to classic Rockstar Games titles. Rockstar Games continues to invest in the franchise and announced that </w:t>
      </w:r>
      <w:r>
        <w:rPr>
          <w:rFonts w:ascii="Times New Roman" w:cs="Times New Roman" w:eastAsia="Times New Roman" w:hAnsi="Times New Roman"/>
          <w:sz w:val="17"/>
          <w:szCs w:val="17"/>
          <w:i w:val="1"/>
          <w:iCs w:val="1"/>
          <w:color w:val="auto"/>
        </w:rPr>
        <w:t>Grand Theft Auto VI</w:t>
      </w:r>
      <w:r>
        <w:rPr>
          <w:rFonts w:ascii="Times New Roman" w:cs="Times New Roman" w:eastAsia="Times New Roman" w:hAnsi="Times New Roman"/>
          <w:sz w:val="17"/>
          <w:szCs w:val="17"/>
          <w:color w:val="auto"/>
        </w:rPr>
        <w:t xml:space="preserve">, which was expected to launch in Fall of Calendar 2025, is now planned for release on May 26, 2026, during our fiscal year 2027. The label released its first trailer for the title in December 2023 and the second in May 2025 and will share more details in the future. </w:t>
      </w:r>
      <w:r>
        <w:rPr>
          <w:rFonts w:ascii="Times New Roman" w:cs="Times New Roman" w:eastAsia="Times New Roman" w:hAnsi="Times New Roman"/>
          <w:sz w:val="17"/>
          <w:szCs w:val="17"/>
          <w:i w:val="1"/>
          <w:iCs w:val="1"/>
          <w:color w:val="auto"/>
        </w:rPr>
        <w:t>Red Dead Redemption 2</w:t>
      </w:r>
      <w:r>
        <w:rPr>
          <w:rFonts w:ascii="Times New Roman" w:cs="Times New Roman" w:eastAsia="Times New Roman" w:hAnsi="Times New Roman"/>
          <w:sz w:val="17"/>
          <w:szCs w:val="17"/>
          <w:color w:val="auto"/>
        </w:rPr>
        <w:t>, which has been a critical and commercial success that set numerous entertainment industry records, has sold-in more than 70 million units worldwide to date. Rockstar Games continues to expand on its established series by developing sequels, offering downloadable episodes, and providing additional content. Rockstar Games' titles are published across all key platforms, including mobile.</w:t>
      </w:r>
    </w:p>
    <w:p>
      <w:pPr>
        <w:spacing w:after="0" w:line="100" w:lineRule="exact"/>
        <w:rPr>
          <w:sz w:val="20"/>
          <w:szCs w:val="20"/>
          <w:color w:val="auto"/>
        </w:rPr>
      </w:pPr>
    </w:p>
    <w:p>
      <w:pPr>
        <w:jc w:val="both"/>
        <w:ind w:firstLine="198"/>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2K. </w:t>
      </w:r>
      <w:r>
        <w:rPr>
          <w:rFonts w:ascii="Times New Roman" w:cs="Times New Roman" w:eastAsia="Times New Roman" w:hAnsi="Times New Roman"/>
          <w:sz w:val="17"/>
          <w:szCs w:val="17"/>
          <w:color w:val="auto"/>
        </w:rPr>
        <w:t>Our 2K label has published a variety of popular entertainment properties across all key platforms and across a range of genres including shooter, action,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role-playing, strategy, sports, and family/casual entertainment. In recent years, 2K has expanded its offerings to include several new franchises that are expected to enhance and diversify its slate of games and provide opportunities for sequels and additional content. We expect 2K to continue to develop new, successful franchises in the future. 2K's internally owned and developed franchises include the critically acclaimed, multi-million unit selling </w:t>
      </w:r>
      <w:r>
        <w:rPr>
          <w:rFonts w:ascii="Times New Roman" w:cs="Times New Roman" w:eastAsia="Times New Roman" w:hAnsi="Times New Roman"/>
          <w:sz w:val="17"/>
          <w:szCs w:val="17"/>
          <w:i w:val="1"/>
          <w:iCs w:val="1"/>
          <w:color w:val="auto"/>
        </w:rPr>
        <w:t>BioShock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Mafia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Sid Meier's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Civilization</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XCOM </w:t>
      </w:r>
      <w:r>
        <w:rPr>
          <w:rFonts w:ascii="Times New Roman" w:cs="Times New Roman" w:eastAsia="Times New Roman" w:hAnsi="Times New Roman"/>
          <w:sz w:val="17"/>
          <w:szCs w:val="17"/>
          <w:color w:val="auto"/>
        </w:rPr>
        <w:t>franchises, as well as the</w:t>
      </w:r>
      <w:r>
        <w:rPr>
          <w:rFonts w:ascii="Times New Roman" w:cs="Times New Roman" w:eastAsia="Times New Roman" w:hAnsi="Times New Roman"/>
          <w:sz w:val="17"/>
          <w:szCs w:val="17"/>
          <w:i w:val="1"/>
          <w:iCs w:val="1"/>
          <w:color w:val="auto"/>
        </w:rPr>
        <w:t xml:space="preserve"> Borderlands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Tiny Tina's Wonderlands </w:t>
      </w:r>
      <w:r>
        <w:rPr>
          <w:rFonts w:ascii="Times New Roman" w:cs="Times New Roman" w:eastAsia="Times New Roman" w:hAnsi="Times New Roman"/>
          <w:sz w:val="17"/>
          <w:szCs w:val="17"/>
          <w:color w:val="auto"/>
        </w:rPr>
        <w:t>franchises, which we now own following our June 2024 acquisition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Gearbox Entertainment. 2K's realistic sports simulation titles include our flagship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series, which continues to be the top-ranked NBA basketball video game, the </w:t>
      </w:r>
      <w:r>
        <w:rPr>
          <w:rFonts w:ascii="Times New Roman" w:cs="Times New Roman" w:eastAsia="Times New Roman" w:hAnsi="Times New Roman"/>
          <w:sz w:val="17"/>
          <w:szCs w:val="17"/>
          <w:i w:val="1"/>
          <w:iCs w:val="1"/>
          <w:color w:val="auto"/>
        </w:rPr>
        <w:t>WWE 2K</w:t>
      </w:r>
      <w:r>
        <w:rPr>
          <w:rFonts w:ascii="Times New Roman" w:cs="Times New Roman" w:eastAsia="Times New Roman" w:hAnsi="Times New Roman"/>
          <w:sz w:val="17"/>
          <w:szCs w:val="17"/>
          <w:color w:val="auto"/>
        </w:rPr>
        <w:t xml:space="preserve"> professional wrestling series, </w:t>
      </w:r>
      <w:r>
        <w:rPr>
          <w:rFonts w:ascii="Times New Roman" w:cs="Times New Roman" w:eastAsia="Times New Roman" w:hAnsi="Times New Roman"/>
          <w:sz w:val="17"/>
          <w:szCs w:val="17"/>
          <w:i w:val="1"/>
          <w:iCs w:val="1"/>
          <w:color w:val="auto"/>
        </w:rPr>
        <w:t>PGA TOUR 2K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TopSpin 2K</w:t>
      </w:r>
      <w:r>
        <w:rPr>
          <w:rFonts w:ascii="Times New Roman" w:cs="Times New Roman" w:eastAsia="Times New Roman" w:hAnsi="Times New Roman"/>
          <w:sz w:val="17"/>
          <w:szCs w:val="17"/>
          <w:color w:val="auto"/>
        </w:rPr>
        <w:t xml:space="preserve">. 2K also publishes mobile titles, including </w:t>
      </w:r>
      <w:r>
        <w:rPr>
          <w:rFonts w:ascii="Times New Roman" w:cs="Times New Roman" w:eastAsia="Times New Roman" w:hAnsi="Times New Roman"/>
          <w:sz w:val="17"/>
          <w:szCs w:val="17"/>
          <w:i w:val="1"/>
          <w:iCs w:val="1"/>
          <w:color w:val="auto"/>
        </w:rPr>
        <w:t>WWE SuperCard</w:t>
      </w:r>
      <w:r>
        <w:rPr>
          <w:rFonts w:ascii="Times New Roman" w:cs="Times New Roman" w:eastAsia="Times New Roman" w:hAnsi="Times New Roman"/>
          <w:sz w:val="17"/>
          <w:szCs w:val="17"/>
          <w:color w:val="auto"/>
        </w:rPr>
        <w:t xml:space="preserve">. In 2018, we expanded our relationship with the NBA through the </w:t>
      </w:r>
      <w:r>
        <w:rPr>
          <w:rFonts w:ascii="Times New Roman" w:cs="Times New Roman" w:eastAsia="Times New Roman" w:hAnsi="Times New Roman"/>
          <w:sz w:val="17"/>
          <w:szCs w:val="17"/>
          <w:i w:val="1"/>
          <w:iCs w:val="1"/>
          <w:color w:val="auto"/>
        </w:rPr>
        <w:t>NBA 2K League.</w:t>
      </w:r>
    </w:p>
    <w:p>
      <w:pPr>
        <w:spacing w:after="0" w:line="104" w:lineRule="exact"/>
        <w:rPr>
          <w:sz w:val="20"/>
          <w:szCs w:val="20"/>
          <w:color w:val="auto"/>
        </w:rPr>
      </w:pPr>
    </w:p>
    <w:p>
      <w:pPr>
        <w:jc w:val="both"/>
        <w:ind w:firstLine="24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Zynga. </w:t>
      </w:r>
      <w:r>
        <w:rPr>
          <w:rFonts w:ascii="Times New Roman" w:cs="Times New Roman" w:eastAsia="Times New Roman" w:hAnsi="Times New Roman"/>
          <w:sz w:val="17"/>
          <w:szCs w:val="17"/>
          <w:color w:val="auto"/>
        </w:rPr>
        <w:t>Our Zynga label publishes popular free-to-play mobile games that deliver high quality, deeply engaging entertainment experiences and generates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revenue from in-game sales and in-game advertising. Zynga's strategy is to have numerous games in concept development and to determine which titles are best suited for soft launch and worldwide launch based on the achievement of various milestones and key performance indicator (KPI) thresholds. Zynga's diverse portfolio of popular game franchises has been downloaded more than six billion times, including </w:t>
      </w:r>
      <w:r>
        <w:rPr>
          <w:rFonts w:ascii="Times New Roman" w:cs="Times New Roman" w:eastAsia="Times New Roman" w:hAnsi="Times New Roman"/>
          <w:sz w:val="17"/>
          <w:szCs w:val="17"/>
          <w:i w:val="1"/>
          <w:iCs w:val="1"/>
          <w:color w:val="auto"/>
        </w:rPr>
        <w:t>CSR Racing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Dragon City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Empires &amp; Puzzles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FarmVille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Game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Thrones: Legends, Golf Rival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Harry Potter: Puzzles &amp; Spells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Match Factory!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Merge Dragons!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Merge Magic!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Monster Legends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Toon Blast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Top Eleven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Toy Blast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Two Dots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Words With Friends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Zynga Poker</w:t>
      </w:r>
      <w:r>
        <w:rPr>
          <w:rFonts w:ascii="Times New Roman" w:cs="Times New Roman" w:eastAsia="Times New Roman" w:hAnsi="Times New Roman"/>
          <w:sz w:val="17"/>
          <w:szCs w:val="17"/>
          <w:color w:val="auto"/>
        </w:rPr>
        <w:t>, and a high volume of hyper-casual mobile titles, including</w:t>
      </w:r>
      <w:r>
        <w:rPr>
          <w:rFonts w:ascii="Times New Roman" w:cs="Times New Roman" w:eastAsia="Times New Roman" w:hAnsi="Times New Roman"/>
          <w:sz w:val="17"/>
          <w:szCs w:val="17"/>
          <w:i w:val="1"/>
          <w:iCs w:val="1"/>
          <w:color w:val="auto"/>
        </w:rPr>
        <w:t xml:space="preserve"> Color Block Jam, Fill the Fridge!, Parking Jam 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Power Slap</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Pull the Pin, Screw Jam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Twisted Tangle,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Tangled Snakes</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Private Division. </w:t>
      </w:r>
      <w:r>
        <w:rPr>
          <w:rFonts w:ascii="Times New Roman" w:cs="Times New Roman" w:eastAsia="Times New Roman" w:hAnsi="Times New Roman"/>
          <w:sz w:val="17"/>
          <w:szCs w:val="17"/>
          <w:color w:val="auto"/>
        </w:rPr>
        <w:t>In October 2024, we sold our Private Division label, including our rights to substantially all of the label's titles. The label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dedicated to bringing titles from the industry's leading creative talent to market and was the publisher, developer, and owner of </w:t>
      </w:r>
      <w:r>
        <w:rPr>
          <w:rFonts w:ascii="Times New Roman" w:cs="Times New Roman" w:eastAsia="Times New Roman" w:hAnsi="Times New Roman"/>
          <w:sz w:val="17"/>
          <w:szCs w:val="17"/>
          <w:i w:val="1"/>
          <w:iCs w:val="1"/>
          <w:color w:val="auto"/>
        </w:rPr>
        <w:t>Kerbal Space Program</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57" w:lineRule="exact"/>
        <w:rPr>
          <w:sz w:val="20"/>
          <w:szCs w:val="20"/>
          <w:color w:val="auto"/>
        </w:rPr>
      </w:pPr>
    </w:p>
    <w:p>
      <w:pPr>
        <w:jc w:val="both"/>
        <w:ind w:firstLine="180"/>
        <w:spacing w:after="0" w:line="270" w:lineRule="auto"/>
        <w:rPr>
          <w:sz w:val="20"/>
          <w:szCs w:val="20"/>
          <w:color w:val="auto"/>
        </w:rPr>
      </w:pPr>
      <w:r>
        <w:rPr>
          <w:rFonts w:ascii="Times New Roman" w:cs="Times New Roman" w:eastAsia="Times New Roman" w:hAnsi="Times New Roman"/>
          <w:sz w:val="17"/>
          <w:szCs w:val="17"/>
          <w:color w:val="auto"/>
        </w:rPr>
        <w:t>Our business is highly dependent on the creation, acquisition, licensing, and protection of intellectual property. We believe that content ownership facilitates our internal product development efforts and maximizes profit potential. We attempt to protect our software and production techniques under copyright, patent, trademark, and trade secret laws as well as through contractual restrictions on disclosure, copying, and distribution.</w:t>
      </w:r>
    </w:p>
    <w:p>
      <w:pPr>
        <w:spacing w:after="0" w:line="101" w:lineRule="exact"/>
        <w:rPr>
          <w:sz w:val="20"/>
          <w:szCs w:val="20"/>
          <w:color w:val="auto"/>
        </w:rPr>
      </w:pPr>
    </w:p>
    <w:p>
      <w:pPr>
        <w:jc w:val="both"/>
        <w:ind w:firstLine="175"/>
        <w:spacing w:after="0" w:line="270" w:lineRule="auto"/>
        <w:rPr>
          <w:sz w:val="20"/>
          <w:szCs w:val="20"/>
          <w:color w:val="auto"/>
        </w:rPr>
      </w:pPr>
      <w:r>
        <w:rPr>
          <w:rFonts w:ascii="Times New Roman" w:cs="Times New Roman" w:eastAsia="Times New Roman" w:hAnsi="Times New Roman"/>
          <w:sz w:val="17"/>
          <w:szCs w:val="17"/>
          <w:color w:val="auto"/>
        </w:rPr>
        <w:t>We also enter into content license agreements, such as those with sports leagues, players associations, copyrighted fictional characters and entertainment brands, car manufacturers, music labels, and musicians. These licenses are typically limited to the use of the licensed rights in products for specific time periods. In addition, we license and include console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 w:name="page6"/>
    <w:bookmarkEnd w:id="5"/>
    <w:p>
      <w:pPr>
        <w:ind w:right="1440"/>
        <w:spacing w:after="0" w:line="427" w:lineRule="auto"/>
        <w:rPr>
          <w:sz w:val="20"/>
          <w:szCs w:val="20"/>
          <w:color w:val="auto"/>
        </w:rPr>
      </w:pPr>
      <w:r>
        <w:rPr>
          <w:rFonts w:ascii="Times New Roman" w:cs="Times New Roman" w:eastAsia="Times New Roman" w:hAnsi="Times New Roman"/>
          <w:sz w:val="17"/>
          <w:szCs w:val="17"/>
          <w:color w:val="auto"/>
        </w:rPr>
        <w:t xml:space="preserve">manufacturer technology in our products on a non-exclusive basis, which allows our games to be played on their respective hardware systems. </w:t>
      </w:r>
      <w:r>
        <w:rPr>
          <w:rFonts w:ascii="Times New Roman" w:cs="Times New Roman" w:eastAsia="Times New Roman" w:hAnsi="Times New Roman"/>
          <w:sz w:val="17"/>
          <w:szCs w:val="17"/>
          <w:b w:val="1"/>
          <w:bCs w:val="1"/>
          <w:color w:val="auto"/>
        </w:rPr>
        <w:t>Manufacturing</w:t>
      </w:r>
    </w:p>
    <w:p>
      <w:pPr>
        <w:spacing w:after="0" w:line="1" w:lineRule="exact"/>
        <w:rPr>
          <w:sz w:val="20"/>
          <w:szCs w:val="20"/>
          <w:color w:val="auto"/>
        </w:rPr>
      </w:pPr>
    </w:p>
    <w:p>
      <w:pPr>
        <w:jc w:val="both"/>
        <w:ind w:firstLine="225"/>
        <w:spacing w:after="0" w:line="261" w:lineRule="auto"/>
        <w:rPr>
          <w:sz w:val="20"/>
          <w:szCs w:val="20"/>
          <w:color w:val="auto"/>
        </w:rPr>
      </w:pPr>
      <w:r>
        <w:rPr>
          <w:rFonts w:ascii="Times New Roman" w:cs="Times New Roman" w:eastAsia="Times New Roman" w:hAnsi="Times New Roman"/>
          <w:sz w:val="17"/>
          <w:szCs w:val="17"/>
          <w:color w:val="auto"/>
        </w:rPr>
        <w:t>Platform manufacturers, such as Sony, Microsoft, and Nintendo, either manufacture or control the selection of approved manufacturers of physical copies of software products sold for use on their respective hardware platforms. We place a purchase order for the manufacture of our products with Sony, Nintendo, or Microsoft's approved replicator and then send software code to the manufacturer, together with related artwork, user instructions, warranty information, brochures and packaging designs for approval, defect testing and manufacture. Games are generally shipped within two to three weeks of receipt of our purchase order and all materials.</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software titles typically carry a 90-day limited warranty.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Arrangements with Platform Manufacturers</w:t>
      </w:r>
    </w:p>
    <w:p>
      <w:pPr>
        <w:spacing w:after="0" w:line="157" w:lineRule="exact"/>
        <w:rPr>
          <w:sz w:val="20"/>
          <w:szCs w:val="20"/>
          <w:color w:val="auto"/>
        </w:rPr>
      </w:pPr>
    </w:p>
    <w:p>
      <w:pPr>
        <w:jc w:val="both"/>
        <w:ind w:firstLine="180"/>
        <w:spacing w:after="0" w:line="287" w:lineRule="auto"/>
        <w:rPr>
          <w:sz w:val="20"/>
          <w:szCs w:val="20"/>
          <w:color w:val="auto"/>
        </w:rPr>
      </w:pPr>
      <w:r>
        <w:rPr>
          <w:rFonts w:ascii="Times New Roman" w:cs="Times New Roman" w:eastAsia="Times New Roman" w:hAnsi="Times New Roman"/>
          <w:sz w:val="17"/>
          <w:szCs w:val="17"/>
          <w:color w:val="auto"/>
        </w:rPr>
        <w:t>We have entered into license agreements with Sony and Microsoft to develop and publish software in Asia, Australia, Europe, North America, and certain Latin American, Middle Eastern, and African countries. We are not required to obtain any licenses from hardware manufacturers to develop titles for the PC.</w:t>
      </w:r>
    </w:p>
    <w:p>
      <w:pPr>
        <w:spacing w:after="0" w:line="70" w:lineRule="exact"/>
        <w:rPr>
          <w:sz w:val="20"/>
          <w:szCs w:val="20"/>
          <w:color w:val="auto"/>
        </w:rPr>
      </w:pPr>
    </w:p>
    <w:p>
      <w:pPr>
        <w:jc w:val="both"/>
        <w:ind w:firstLine="18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Sony. </w:t>
      </w:r>
      <w:r>
        <w:rPr>
          <w:rFonts w:ascii="Times New Roman" w:cs="Times New Roman" w:eastAsia="Times New Roman" w:hAnsi="Times New Roman"/>
          <w:sz w:val="17"/>
          <w:szCs w:val="17"/>
          <w:color w:val="auto"/>
        </w:rPr>
        <w:t>Effective March 23, 2017, we entered into a PlayStation Global Developer and Publisher Agreement with Sony Computer Entertainment, Inc. and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its affiliates, pursuant to which Sony granted us the right and license to develop, publish, have manufactured, market, advertise, distribute and sell PlayStation compatible products for all PlayStation systems. The agreement requires us to submit products to Sony for approval and for us to make royalty payments to Sony based on the number of units manufactured or revenue from digitally downloaded content. In addition, products for PlayStation systems are required to be manufactured by Sony-approved manufacturers. On September 30, 2020, we entered into a PlayStation 5 Amendment, with an effective date of May 1, 2020 (the “PS5 Amendment”), to our existing PlayStation Global Developer and Publisher Agreement. The PS5 Amendment amends the existing agreement to include the PlayStation 5 interactive entertainment system in the definition of systems in the agreement and to extend all of the terms and conditions of the existing agreement to our PlayStation 5 products and services.</w:t>
      </w:r>
    </w:p>
    <w:p>
      <w:pPr>
        <w:spacing w:after="0" w:line="115" w:lineRule="exact"/>
        <w:rPr>
          <w:sz w:val="20"/>
          <w:szCs w:val="20"/>
          <w:color w:val="auto"/>
        </w:rPr>
      </w:pPr>
    </w:p>
    <w:p>
      <w:pPr>
        <w:jc w:val="both"/>
        <w:ind w:firstLine="172"/>
        <w:spacing w:after="0" w:line="270" w:lineRule="auto"/>
        <w:rPr>
          <w:sz w:val="20"/>
          <w:szCs w:val="20"/>
          <w:color w:val="auto"/>
        </w:rPr>
      </w:pPr>
      <w:r>
        <w:rPr>
          <w:rFonts w:ascii="Times New Roman" w:cs="Times New Roman" w:eastAsia="Times New Roman" w:hAnsi="Times New Roman"/>
          <w:sz w:val="17"/>
          <w:szCs w:val="17"/>
          <w:color w:val="auto"/>
        </w:rPr>
        <w:t>The term of the agreement, as amended, expires on March 31, 2026, with automatic one-year renewal terms thereafter (unless one party gives the other notice of termination). Sony may terminate the agreement for any or no reason upon 30 days’ notice. The agreement may also be terminated by Sony immediately in the event of a breach by us or our bankruptcy or insolvency. Upon expiration or termination of the agreement, we have certain rights to sell off existing inventories.</w:t>
      </w:r>
    </w:p>
    <w:p>
      <w:pPr>
        <w:spacing w:after="0" w:line="97" w:lineRule="exact"/>
        <w:rPr>
          <w:sz w:val="20"/>
          <w:szCs w:val="20"/>
          <w:color w:val="auto"/>
        </w:rPr>
      </w:pPr>
    </w:p>
    <w:p>
      <w:pPr>
        <w:jc w:val="both"/>
        <w:ind w:firstLine="192"/>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Microsoft. </w:t>
      </w:r>
      <w:r>
        <w:rPr>
          <w:rFonts w:ascii="Times New Roman" w:cs="Times New Roman" w:eastAsia="Times New Roman" w:hAnsi="Times New Roman"/>
          <w:sz w:val="17"/>
          <w:szCs w:val="17"/>
          <w:color w:val="auto"/>
        </w:rPr>
        <w:t>Under the terms of the license agreements that we have entered into with Microsoft Corporation and its affiliates, Microsoft granted us the right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license to develop, publish, have manufactured, market, advertise, distribute and sell Xbox compatible products. The agreements require us to submit products to Microsoft for approval and to make royalty payments to Microsoft based on the number of units manufactured or revenue from digitally downloaded content. In addition, products for the Xbox consoles are required to be manufactured by Microsoft-approved manufacturers.</w:t>
      </w:r>
    </w:p>
    <w:p>
      <w:pPr>
        <w:spacing w:after="0" w:line="91" w:lineRule="exact"/>
        <w:rPr>
          <w:sz w:val="20"/>
          <w:szCs w:val="20"/>
          <w:color w:val="auto"/>
        </w:rPr>
      </w:pPr>
    </w:p>
    <w:p>
      <w:pPr>
        <w:jc w:val="both"/>
        <w:ind w:firstLine="247"/>
        <w:spacing w:after="0" w:line="259" w:lineRule="auto"/>
        <w:rPr>
          <w:sz w:val="20"/>
          <w:szCs w:val="20"/>
          <w:color w:val="auto"/>
        </w:rPr>
      </w:pPr>
      <w:r>
        <w:rPr>
          <w:rFonts w:ascii="Times New Roman" w:cs="Times New Roman" w:eastAsia="Times New Roman" w:hAnsi="Times New Roman"/>
          <w:sz w:val="17"/>
          <w:szCs w:val="17"/>
          <w:color w:val="auto"/>
        </w:rPr>
        <w:t>Effective as of November 17, 2005, we entered into an Xbox 360 Publisher License Agreement with Microsoft for the Xbox 360 console (the “Xbox 360 Agreement”). Effective as of July 1, 2020, we entered into an Xbox Console Publisher License Agreement with Microsoft for the Xbox Series X|S and Xbox One consoles (the “Xbox Next Gen Agreement” and, together with Xbox 360 Agreement, the “Xbox Agreements”). The terms of both Xbox Agreements expire on March 31, 2026, each with automatic one-year renewal terms thereafter (unless one party gives the other advance notice of non-renewal). These Xbox Agreements may be terminated by Microsoft immediately in the event of a breach by us, and the Xbox Next Gen Agreement may also be terminated by Microsoft immediately in the event of our bankruptcy or insolvency. Upon expiration or termination of each of the Xbox Agreements, we have certain rights to sell off existing inventories.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157" w:lineRule="exact"/>
        <w:rPr>
          <w:sz w:val="20"/>
          <w:szCs w:val="20"/>
          <w:color w:val="auto"/>
        </w:rPr>
      </w:pPr>
    </w:p>
    <w:p>
      <w:pPr>
        <w:jc w:val="both"/>
        <w:ind w:firstLine="195"/>
        <w:spacing w:after="0" w:line="261" w:lineRule="auto"/>
        <w:rPr>
          <w:sz w:val="20"/>
          <w:szCs w:val="20"/>
          <w:color w:val="auto"/>
        </w:rPr>
      </w:pPr>
      <w:r>
        <w:rPr>
          <w:rFonts w:ascii="Times New Roman" w:cs="Times New Roman" w:eastAsia="Times New Roman" w:hAnsi="Times New Roman"/>
          <w:sz w:val="17"/>
          <w:szCs w:val="17"/>
          <w:color w:val="auto"/>
        </w:rPr>
        <w:t>We sell software titles both digitally and physically through direct relationships with digital storefronts and platform partners, large retail customers, and third-party distributors. We sell our products globally and have sales operations in Australia, Canada, France, Germany, Japan, Singapore, South Korea, Taiwan, the U.K., and the U.S. We manage a direct-to-consumer platform, primarily for our mobile business, to drive purchases directly with our consumer base. By leveraging our direct-to-consumer platform, we are able to build closer relationships with our players, understand their behaviors and preferences more accurately, and provide value with various offers and event types.</w:t>
      </w:r>
    </w:p>
    <w:p>
      <w:pPr>
        <w:spacing w:after="0" w:line="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dependent on a limited number of customers that account for a significant portion of our sales. Sales to our five largest customers during the fiscal year ended March 31, 2025, accounted for 81.0% of our net revenue, with Apple, Sony, Google, and Microsoft each accounting for more than 10.0% of our net revenue.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6" w:name="page7"/>
    <w:bookmarkEnd w:id="6"/>
    <w:p>
      <w:pPr>
        <w:jc w:val="both"/>
        <w:ind w:firstLine="290"/>
        <w:spacing w:after="0" w:line="264" w:lineRule="auto"/>
        <w:rPr>
          <w:sz w:val="20"/>
          <w:szCs w:val="20"/>
          <w:color w:val="auto"/>
        </w:rPr>
      </w:pPr>
      <w:r>
        <w:rPr>
          <w:rFonts w:ascii="Times New Roman" w:cs="Times New Roman" w:eastAsia="Times New Roman" w:hAnsi="Times New Roman"/>
          <w:sz w:val="17"/>
          <w:szCs w:val="17"/>
          <w:color w:val="auto"/>
        </w:rPr>
        <w:t>We distribute our titles, add-on content, and in-game purchases through direct digital download to consoles, PCs, and mobile devices. We view digital distribution as the principal channel for our industry and Company; however, we expect that packaged goods and traditional retailers will continue to be an important channel for the sale of our console products for the foreseeable future, particularly in connection with the release of certain titles for consoles or certain regions where digital distribution is not as well established.</w:t>
      </w:r>
    </w:p>
    <w:p>
      <w:pPr>
        <w:spacing w:after="0" w:line="1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also sell advertising within a number of our games, primarily in mobile. Our advertising offerings provide creative ways for marketers and advertisers to reach and engage with our players and are generally essential for our free-to-play titles. Our advertising offerings include banner and interstitial advertisements, engagement advertisements and offers in which players can participate in watch-to-earn engagements or other offer engagements, branded virtual items, and sponsorships that integrate relevant advertising and messaging within game play.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144" w:lineRule="exact"/>
        <w:rPr>
          <w:sz w:val="20"/>
          <w:szCs w:val="20"/>
          <w:color w:val="auto"/>
        </w:rPr>
      </w:pPr>
    </w:p>
    <w:p>
      <w:pPr>
        <w:jc w:val="both"/>
        <w:ind w:firstLine="235"/>
        <w:spacing w:after="0" w:line="270" w:lineRule="auto"/>
        <w:rPr>
          <w:sz w:val="20"/>
          <w:szCs w:val="20"/>
          <w:color w:val="auto"/>
        </w:rPr>
      </w:pPr>
      <w:r>
        <w:rPr>
          <w:rFonts w:ascii="Times New Roman" w:cs="Times New Roman" w:eastAsia="Times New Roman" w:hAnsi="Times New Roman"/>
          <w:sz w:val="17"/>
          <w:szCs w:val="17"/>
          <w:color w:val="auto"/>
        </w:rPr>
        <w:t>Our marketing and promotional efforts are intended to acquire new users, maximize consumer interest in our titles, promote brand name recognition of our franchises, assist retailers and to properly position, package and merchandise our titles. Marketing is particularly important for our mobile titles to build a large community of players. From time to time, we also receive marketing support from hardware manufacturers in connection with their own promotional efforts.</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market titles by:</w:t>
      </w:r>
    </w:p>
    <w:p>
      <w:pPr>
        <w:spacing w:after="0" w:line="165" w:lineRule="exact"/>
        <w:rPr>
          <w:sz w:val="20"/>
          <w:szCs w:val="20"/>
          <w:color w:val="auto"/>
        </w:rPr>
      </w:pPr>
    </w:p>
    <w:p>
      <w:pPr>
        <w:jc w:val="both"/>
        <w:ind w:left="620" w:hanging="307"/>
        <w:spacing w:after="0" w:line="254" w:lineRule="auto"/>
        <w:tabs>
          <w:tab w:leader="none" w:pos="596"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Implementing public relations campaigns, using social, digital, online, television, outdoor, and print marketing, including certain performance marketing programs. We aim to label and market our products in accordance with the applicable principles and guidelines of the Entertainment Software Rating Board, ("ESRB"), an independent self-regulatory body that assigns ratings and enforces advertising guidelines for the interactive software industry in the U.S. In addition, we work with similar global agencies, including the Pan-European Game Information, which is used throughout most of Europe in more than 35 countries, and the International Age Rating Coalition ("IARC"), a rating and age classification system for digitally delivered games and apps that reflects the unique cultural differences among nations and regions.</w:t>
      </w:r>
    </w:p>
    <w:p>
      <w:pPr>
        <w:spacing w:after="0" w:line="113" w:lineRule="exact"/>
        <w:rPr>
          <w:rFonts w:ascii="Times New Roman" w:cs="Times New Roman" w:eastAsia="Times New Roman" w:hAnsi="Times New Roman"/>
          <w:sz w:val="19"/>
          <w:szCs w:val="19"/>
          <w:color w:val="auto"/>
        </w:rPr>
      </w:pPr>
    </w:p>
    <w:p>
      <w:pPr>
        <w:jc w:val="both"/>
        <w:ind w:left="6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Stimulating continued sales by reducing the wholesale prices of our products to retailers, digital storefronts, and platform providers at various times during the life of a product. Price protection may occur at any time in a product's life cycle but typically occurs three to nine months after a product's initial launch. In certain international markets, we also provide volume rebates to stimulate continued product sales.</w:t>
      </w:r>
    </w:p>
    <w:p>
      <w:pPr>
        <w:spacing w:after="0" w:line="100"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Employing various other marketing methods designed to promote consumer awareness, including social media, in-store promotions and point-of-purchase displays, direct mail, cooperative advertising, attendance at trade shows as well as product sampling through demonstration software distributed via the Internet or the digital online services.</w:t>
      </w:r>
    </w:p>
    <w:p>
      <w:pPr>
        <w:spacing w:after="0" w:line="87"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able to build a large community of players, particularly for mobile titles, through players discovering of our games in platform storefronts, the viral and social features built into the network effects of our games, as well as the cross-promotion of our games to our existing audience. However, we also acquire our players through paid advertising channels. We advertise our mobile games primarily within other mobile applications and on social networks, often through in-app and other advertising partners such as Facebook and Google.</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As of March 31, 2025, we had a sales and marketing staff of 1,418 full-time employees.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57" w:lineRule="exact"/>
        <w:rPr>
          <w:sz w:val="20"/>
          <w:szCs w:val="20"/>
          <w:color w:val="auto"/>
        </w:rPr>
      </w:pPr>
    </w:p>
    <w:p>
      <w:pPr>
        <w:jc w:val="both"/>
        <w:ind w:firstLine="209"/>
        <w:spacing w:after="0" w:line="270" w:lineRule="auto"/>
        <w:rPr>
          <w:sz w:val="20"/>
          <w:szCs w:val="20"/>
          <w:color w:val="auto"/>
        </w:rPr>
      </w:pPr>
      <w:r>
        <w:rPr>
          <w:rFonts w:ascii="Times New Roman" w:cs="Times New Roman" w:eastAsia="Times New Roman" w:hAnsi="Times New Roman"/>
          <w:sz w:val="17"/>
          <w:szCs w:val="17"/>
          <w:color w:val="auto"/>
        </w:rPr>
        <w:t>Competition in the interactive entertainment industry is based on innovation, features, playability, product quality, brand name recognition, compatibility with popular platforms, access to distribution channels, price, marketing, and customer service. Our business is driven by hit titles, which require increasing budgets for development and marketing. Competition for our titles is influenced by the timing of competitive product releases and the similarity of such products to our titles.</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 our business, we compete with:</w:t>
      </w:r>
    </w:p>
    <w:p>
      <w:pPr>
        <w:spacing w:after="0" w:line="140" w:lineRule="exact"/>
        <w:rPr>
          <w:sz w:val="20"/>
          <w:szCs w:val="20"/>
          <w:color w:val="auto"/>
        </w:rPr>
      </w:pPr>
    </w:p>
    <w:p>
      <w:pPr>
        <w:jc w:val="both"/>
        <w:ind w:left="620" w:hanging="307"/>
        <w:spacing w:after="0" w:line="26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interactive entertainment companies that range in size and cost structure from very small with limited resources to very large with greater financial, marketing, technical, and other resources than ours. Examples of our competitors include Electronic Arts Inc., Embracer Group AB, Playrix, Playtika, Roblox, Savvy Games, Tencent, and Ubisoft Entertainment S.A. We also expect new competitors to enter the market and existing competitors to allocate more resources to develop and market competing games and applications.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 w:name="page8"/>
    <w:bookmarkEnd w:id="7"/>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Sony, Microsoft, and Nintendo for the sale of interactive entertainment software. Each of these competitors is a large developer and marketer of software for their own platforms and has the financial resources to withstand significant price competition and to implement extensive advertising campaigns.</w:t>
      </w:r>
    </w:p>
    <w:p>
      <w:pPr>
        <w:spacing w:after="0" w:line="8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software, hardware, entertainment, and media for limited retail shelf space and promotional resources. The competition for shelf space, whether physical or virtual, and promotional support is intense among an increasing number of newly introduced entertainment software titles and hardware.</w:t>
      </w:r>
    </w:p>
    <w:p>
      <w:pPr>
        <w:spacing w:after="0" w:line="8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forms of entertainment such as motion pictures, television, social networking, online applications, short-form video, and other forms of entertainment, which may be less expensive or provide other advantages to consumers.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 Operations</w:t>
      </w:r>
    </w:p>
    <w:p>
      <w:pPr>
        <w:spacing w:after="0" w:line="15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7"/>
          <w:szCs w:val="17"/>
          <w:color w:val="auto"/>
        </w:rPr>
        <w:t>International sales are a significant part of our business. For the fiscal years ended March 31, 2025, 2024, and 2023, we earned 39.5%, 38.7% and 37.2%, respectively, of our net revenue outside the U.S.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 In particular, as a global company operating in many jurisdictions, we are subject to various and complex laws and regulations domestically and internationally, including laws and regulations related to gaming, user privacy, data collection and retention, consumer protection, protection of minors, online safety, content, advertising, localization, information security, intellectual property, competition, sanctions, addressing climate change, taxation, and employment, among others. Many of these laws and regulations are continuously evolving and developing, and the application to, and impact on, us is uncertain. Certain of our business models are subject to new laws or regulations or evolving interpretations and application of existing laws and regulations. The growth and development of electronic commerce, virtual items, and virtual currency has prompted calls for new laws and regulations and resulted in the application of existing laws or regulations that have limited or restricted the sale of our products and services in certain territories. For more information on risks associated with complying with applicable laws, please see "</w:t>
      </w:r>
      <w:r>
        <w:rPr>
          <w:rFonts w:ascii="Times New Roman" w:cs="Times New Roman" w:eastAsia="Times New Roman" w:hAnsi="Times New Roman"/>
          <w:sz w:val="17"/>
          <w:szCs w:val="17"/>
          <w:i w:val="1"/>
          <w:iCs w:val="1"/>
          <w:u w:val="single" w:color="auto"/>
          <w:color w:val="0000FF"/>
        </w:rPr>
        <w:t>Risk Factors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—Risks related to legal or regulatory compliance.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and Geographic Information</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We have one operating and reportable segment. See </w:t>
      </w:r>
      <w:r>
        <w:rPr>
          <w:rFonts w:ascii="Times New Roman" w:cs="Times New Roman" w:eastAsia="Times New Roman" w:hAnsi="Times New Roman"/>
          <w:sz w:val="17"/>
          <w:szCs w:val="17"/>
          <w:u w:val="single" w:color="auto"/>
          <w:color w:val="0000FF"/>
        </w:rPr>
        <w:t>Note 22</w:t>
      </w:r>
      <w:r>
        <w:rPr>
          <w:rFonts w:ascii="Times New Roman" w:cs="Times New Roman" w:eastAsia="Times New Roman" w:hAnsi="Times New Roman"/>
          <w:sz w:val="17"/>
          <w:szCs w:val="17"/>
          <w:color w:val="auto"/>
        </w:rPr>
        <w:t xml:space="preserve"> to our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53" w:lineRule="exact"/>
        <w:rPr>
          <w:sz w:val="20"/>
          <w:szCs w:val="20"/>
          <w:color w:val="auto"/>
        </w:rPr>
      </w:pPr>
    </w:p>
    <w:p>
      <w:pPr>
        <w:jc w:val="both"/>
        <w:ind w:firstLine="24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Human Capital Management. </w:t>
      </w:r>
      <w:r>
        <w:rPr>
          <w:rFonts w:ascii="Times New Roman" w:cs="Times New Roman" w:eastAsia="Times New Roman" w:hAnsi="Times New Roman"/>
          <w:sz w:val="17"/>
          <w:szCs w:val="17"/>
          <w:color w:val="auto"/>
        </w:rPr>
        <w:t>Our headcount includes 12,928 full-time employees as of March 31, 2025. We are proud of our established culture, and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reputation for creativity, innovation, and efficiency enables us to attract some of the most talented individuals in our industry and consistently set new benchmarks for excellence. We are constantly focused on our teams – their success, their structure, and how best to support them given their particular needs and projects. 49% of our full-time employees are located in North America, 34% in Europe, and 17% in the Asia-Pacific region; 78% of our full-time employees are focused on product development.</w:t>
      </w:r>
    </w:p>
    <w:p>
      <w:pPr>
        <w:spacing w:after="0" w:line="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While some of our teams are now working from the office full time, many of our colleagues are working in hybrid work environments, with some flexibility to work remotely on various days. We believe this structure maintains strong productivity, and collaboration, cultivates a strong internal culture, and is also beneficial for talent retention. Our approach to the workplace presents challenges, as well as opportunities, for managing teams and supporting employees. We continue to support our workforce through ongoing and new initiatives, including enhanced manager training to strengthen team cohesion across various work models, encouragement of healthy work habits, active engagement with employee feedback, and a continued focus on mental health awareness.</w:t>
      </w:r>
    </w:p>
    <w:p>
      <w:pPr>
        <w:spacing w:after="0" w:line="1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By empowering our teams to embrace an entrepreneurial mindset and to take calculated risks, we foster an environment where our people can thrive. We believe that we deploy best-in-class recruiting practices to attract new talent, and we encourage our people to pursue satisfying, long-term career opportunities with us by providing competitive compensation benefits and well-being programs and by offering numerous learning and development programs to encourage career growth and progression.</w:t>
      </w:r>
    </w:p>
    <w:p>
      <w:pPr>
        <w:spacing w:after="0" w:line="10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Sustainability. </w:t>
      </w:r>
      <w:r>
        <w:rPr>
          <w:rFonts w:ascii="Times New Roman" w:cs="Times New Roman" w:eastAsia="Times New Roman" w:hAnsi="Times New Roman"/>
          <w:sz w:val="17"/>
          <w:szCs w:val="17"/>
          <w:color w:val="auto"/>
        </w:rPr>
        <w:t>We recognize the synergies between corporate citizenship and smart business and are committed to focusing on, and measuring the impact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sustainability activities, which are rooted in our core tenets of creativity, innovation, and efficiency. We believe sustainability creates value for all stakeholders, including employees and customers, while also helping to mitigate risks, reduce costs, protect brand value, and identify market opportunities. We have an organization-wide Sustainability Committee, overseen by the Board of Directors (the "Board"), to lead our sustainability efforts. Through this committee, we developed a comprehensive, Sustainability Framework that reflects our top priority issues and stakeholder needs.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8" w:name="page9"/>
    <w:bookmarkEnd w:id="8"/>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Community &amp; Engagement. </w:t>
      </w:r>
      <w:r>
        <w:rPr>
          <w:rFonts w:ascii="Times New Roman" w:cs="Times New Roman" w:eastAsia="Times New Roman" w:hAnsi="Times New Roman"/>
          <w:sz w:val="17"/>
          <w:szCs w:val="17"/>
          <w:color w:val="auto"/>
        </w:rPr>
        <w:t>We firmly believe that diversity of thought drives the innovation that is integral to our success. We strive to provide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inclusive workplace in which everyone feels respected, heard, and safe. Our culture, grounded in compassion, collaboration, and a commitment to excellence, supports an inclusive and welcoming environment for prospective employees and the broader community.</w:t>
      </w:r>
    </w:p>
    <w:p>
      <w:pPr>
        <w:spacing w:after="0" w:line="9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Talent Assessment &amp; Development and Employee Experience. </w:t>
      </w:r>
      <w:r>
        <w:rPr>
          <w:rFonts w:ascii="Times New Roman" w:cs="Times New Roman" w:eastAsia="Times New Roman" w:hAnsi="Times New Roman"/>
          <w:sz w:val="17"/>
          <w:szCs w:val="17"/>
          <w:color w:val="auto"/>
        </w:rPr>
        <w:t>We are committed to internal growth opportunities and career development tracks.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 the importance of our employees staying current in an ever-changing industry. Our global Learning &amp; Development team curates a wide variety of training materials and programs targeting both hard skills development and career progression as well as programs in leadership development and employee round tables. Our compliance training program seeks to ensure that our employees recognize and report any signs of harassment, discrimination, retaliation, or other inappropriate behaviors in the workplace and that they understand and abide by our Code of Business Conduct and other internal policies.</w:t>
      </w:r>
    </w:p>
    <w:p>
      <w:pPr>
        <w:spacing w:after="0" w:line="1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learning and development programs are designed to be closely aligned with our performance management process and succession planning. Our formalized performance management process provides the platform for evaluating each individual employee’s contributions to the team and our success, with a focus on regular communication and transparency. We work hard to ensure that development opportunities are individually tailored and that all decisions regarding hiring, career progression, and compensation are based on qualifications, work ethic, and job performance.</w:t>
      </w:r>
    </w:p>
    <w:p>
      <w:pPr>
        <w:spacing w:after="0" w:line="9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Beyond formal performance management, we stay connected with our teams throughout the year with global town hall meetings and engagement and "pulse" surveys. The feedback generated through these tools helps to ensure we are providing a supportive, dynamic, and stimulating work environment for all of our employees. These efforts and more contributed to Take-Two being named one of Forbes' Best Mid-Size Employers list for four of the last six years and certified as a Great Place to Work by Fortune every year from 2020 through 2025 (including in the U.K. in 2025).</w:t>
      </w:r>
    </w:p>
    <w:p>
      <w:pPr>
        <w:spacing w:after="0" w:line="10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Compensation and Benefits. </w:t>
      </w:r>
      <w:r>
        <w:rPr>
          <w:rFonts w:ascii="Times New Roman" w:cs="Times New Roman" w:eastAsia="Times New Roman" w:hAnsi="Times New Roman"/>
          <w:sz w:val="17"/>
          <w:szCs w:val="17"/>
          <w:color w:val="auto"/>
        </w:rPr>
        <w:t>The main objectives of our compensation and benefit programs are to attract, retain, motivate, and reward our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operate in a highly competitive and technologically challenging environment. We offer competitive compensation packages designed to incentivize high individual and company performance. We regularly review our compensation and benefits packages from both an internal and external standpoint to ensure competitiveness, including through industry benchmarking analysis. We seek to link compensation (including annual changes in compensation) to our overall and business unit performance, as well as each individual’s contribution to the results achieved. The emphasis on our overall performance is intended to align our employees’ financial interests with the interests of our shareholders. In addition to awarding Restricted Stock Units to employees at certain levels, we also offer an Employee Stock Purchase Plan to further align the interests of our employees with our shareholders.</w:t>
      </w:r>
    </w:p>
    <w:p>
      <w:pPr>
        <w:spacing w:after="0" w:line="11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provide a comprehensive benefits package that includes traditional offerings, such as medical, dental vision, retirement, disability, accident and life insurance, prescription drugs, and leaves, and also includes programs such as fitness reimbursement, mental health benefits, mental health awareness training for Human Resources personnel and managers throughout the Company, and charitable giving with a company match.</w:t>
      </w:r>
    </w:p>
    <w:p>
      <w:pPr>
        <w:spacing w:after="0" w:line="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53" w:lineRule="exact"/>
        <w:rPr>
          <w:sz w:val="20"/>
          <w:szCs w:val="20"/>
          <w:color w:val="auto"/>
        </w:rPr>
      </w:pPr>
    </w:p>
    <w:p>
      <w:pPr>
        <w:jc w:val="both"/>
        <w:ind w:firstLine="219"/>
        <w:spacing w:after="0" w:line="266" w:lineRule="auto"/>
        <w:rPr>
          <w:sz w:val="20"/>
          <w:szCs w:val="20"/>
          <w:color w:val="auto"/>
        </w:rPr>
      </w:pPr>
      <w:r>
        <w:rPr>
          <w:rFonts w:ascii="Times New Roman" w:cs="Times New Roman" w:eastAsia="Times New Roman" w:hAnsi="Times New Roman"/>
          <w:sz w:val="17"/>
          <w:szCs w:val="17"/>
          <w:i w:val="1"/>
          <w:iCs w:val="1"/>
          <w:color w:val="auto"/>
        </w:rPr>
        <w:t>Our business is subject to many risks and uncertainties, which may affect our future financial performance. Because of the risks and uncertainties described below, as well as other factors affecting our operating results and financial condition, past financial performance should not be considered to be a reliable indicator of future performance and our business and financial performance could be harmed and the market value of our securities could decline. These risks are not presented in order of importance or probability of occurrence.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Material risks that may affect our business, operating results and financial condition include, but are not necessarily limited to: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Risks relating to our business and industry</w:t>
      </w:r>
    </w:p>
    <w:p>
      <w:pPr>
        <w:spacing w:after="0" w:line="28"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industry is highly competitive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of achieving market acceptance, delays or disruptions for our products may have an adverse effect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development risks and must adapt to changes in software technologies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use of artificial intelligence ("AI") into our products may present operational and reputational risks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use of mobile devices for gaming will drive future growth of mobile gaming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for retailer support could increase expenses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successful products for current video game platforms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 w:name="page10"/>
    <w:bookmarkEnd w:id="9"/>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require approval of hardware licensors to publish titles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complex information technology systems and networks and potential adverse impact of security breaches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 of inadequate consumer data protection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key management and product development personnel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managing, and retaining our talent is critical to our success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Offensive consumer-created content can harm our results of operations or reputation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software development arrangements with third parties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distributors, development, and licensing partners or other third parties being unable to honor their commitments or otherwise putting our brand at risk</w:t>
      </w: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importance of digital sales and free-to-play games exposes us to the risks of that business model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compete for advertisements and offers that are incorporated into our free-to-play games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acquisitions and investments may not have the anticipated results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operations risks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server capacity, lack of sufficient bandwidth, or connectivity issues could cause our business to suffer</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open-source software exposes us to risks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software is susceptible to errors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ability to acquire and maintain license to intellectual property is key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declines or fluctuations in the recurring portion of our business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the timing of our product releases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the future success of our Grand Theft Auto products and other hit titles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of price protection and returns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number of customers account for a significant portion of our sales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Content policies could negatively affect sales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ESRB ratings for our products could negatively affect our ability to distribute and sell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position and value of our products could be adversely affected by unprotected intellectual property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our virtual items is highly dependent on how we manage the economies in our games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potential for unauthorized or fraudulent transactions of accounts and virtual items outside of our games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significant amount of outstanding debt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Risks related to legal or regulatory compliance</w:t>
      </w:r>
    </w:p>
    <w:p>
      <w:pPr>
        <w:spacing w:after="0" w:line="31"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Government regulation of the Internet can affect our business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Legislation could subject us to claims or otherwise harm our business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Failure to comply with laws and regulations, including data privacy, could harm our business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Adverse effect of alleged or actual infringement on the intellectual property rights of third parties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Risks related to financial and economic condition</w:t>
      </w:r>
    </w:p>
    <w:p>
      <w:pPr>
        <w:spacing w:after="0" w:line="31"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Provisions in our charter documents and debt agreements may impede or discourage a takeover</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Adverse effects of changes in tax rates and additional tax liabilities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are subject to risks and uncertainties of international trade, including foreign currency fluctuations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adverse effects of existing or future accounting standards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Adverse effects of declines in consumer spending and changes in the economy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General Risk Factors</w:t>
      </w:r>
    </w:p>
    <w:p>
      <w:pPr>
        <w:spacing w:after="0" w:line="49" w:lineRule="exact"/>
        <w:rPr>
          <w:sz w:val="20"/>
          <w:szCs w:val="20"/>
          <w:color w:val="auto"/>
        </w:rPr>
      </w:pPr>
    </w:p>
    <w:p>
      <w:pPr>
        <w:ind w:left="620" w:hanging="307"/>
        <w:spacing w:after="0" w:line="235" w:lineRule="auto"/>
        <w:tabs>
          <w:tab w:leader="none" w:pos="61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Additional issuances or sales of equity securities by us would dilute the ownership of our existing stockholders and could adversely affect the market price of our common stock</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are subject to risks related to corporate and social responsibility and reputation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Catastrophic events and climate change may have a long-term impact on our business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may be adversely affected by the effects of inflation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are and may become involved in legal proceedings that may result in adverse outcomes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 and industry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interactive entertainment software industry is highly competitive.</w:t>
      </w:r>
    </w:p>
    <w:p>
      <w:pPr>
        <w:spacing w:after="0" w:line="159" w:lineRule="exact"/>
        <w:rPr>
          <w:sz w:val="20"/>
          <w:szCs w:val="20"/>
          <w:color w:val="auto"/>
        </w:rPr>
      </w:pPr>
    </w:p>
    <w:p>
      <w:pPr>
        <w:jc w:val="both"/>
        <w:ind w:firstLine="199"/>
        <w:spacing w:after="0" w:line="264" w:lineRule="auto"/>
        <w:rPr>
          <w:sz w:val="20"/>
          <w:szCs w:val="20"/>
          <w:color w:val="auto"/>
        </w:rPr>
      </w:pPr>
      <w:r>
        <w:rPr>
          <w:rFonts w:ascii="Times New Roman" w:cs="Times New Roman" w:eastAsia="Times New Roman" w:hAnsi="Times New Roman"/>
          <w:sz w:val="17"/>
          <w:szCs w:val="17"/>
          <w:color w:val="auto"/>
        </w:rPr>
        <w:t>We compete for both licenses to properties and the sale of interactive entertainment software with Sony and Microsoft, each of which is a large developer and marketer of software for its own platforms. We also compete with game publishers, such as Electronic Arts Inc., Embracer Group AB, Microsoft, Nintendo, Playrix, Playtika, Savvy Games, Sony, Tencent, and Ubisoft Entertainment S.A. We also face competition from online game developers and distributors who have primarily focused on</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7"/>
          <w:szCs w:val="17"/>
          <w:color w:val="auto"/>
        </w:rPr>
        <w:t>specific international markets and with high-profile companies with significant online presences with new and expanded mobile gaming offerings, such as Apple, Google, and Microsoft. In addition, the gaming, technology/Internet, and entertainment industries have converged in recent years and larger, well-funded technology companies are pursuing and strengthening their interactive entertainment capabilities.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make higher offers to licensors and developers for commercially desirable properties, adopt more aggressive pricing policies to develop more commercially successful video game products than we do, recruit our key creative and technical talent or otherwise disrupt our operations. Internationally, local competitors may have a greater brand recognition than us in their local country and a stronger understanding of local culture and commerce. They may also offer their products and services in local languages we do not offer. Additionally,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our product sales to fall below expectations. Our titles also compete with other forms of entertainment, such as social media, in addition to motion pictures, television, short-form video, and audio and video products featuring similar themes, online computer programs and other entertainment, which may be less expensive or provide other advantages to consumers.</w:t>
      </w:r>
    </w:p>
    <w:p>
      <w:pPr>
        <w:spacing w:after="0" w:line="329" w:lineRule="exact"/>
        <w:rPr>
          <w:sz w:val="20"/>
          <w:szCs w:val="20"/>
          <w:color w:val="auto"/>
        </w:rPr>
      </w:pPr>
    </w:p>
    <w:p>
      <w:pPr>
        <w:jc w:val="both"/>
        <w:ind w:firstLine="166"/>
        <w:spacing w:after="0" w:line="260" w:lineRule="auto"/>
        <w:rPr>
          <w:sz w:val="20"/>
          <w:szCs w:val="20"/>
          <w:color w:val="auto"/>
        </w:rPr>
      </w:pPr>
      <w:r>
        <w:rPr>
          <w:rFonts w:ascii="Times New Roman" w:cs="Times New Roman" w:eastAsia="Times New Roman" w:hAnsi="Times New Roman"/>
          <w:sz w:val="17"/>
          <w:szCs w:val="17"/>
          <w:color w:val="auto"/>
        </w:rPr>
        <w:t>A number of software publishers who compete with us have developed and commercialized or are currently developing online and mobile games. Technological advances that significantly increase the availability of online and mobile games could result in a decline in our platform-based software sales and negatively affect sales of such products. Other large companies that to date have not actively focused on mobile and social games may decide to develop mobile and social games or partner with other developers. Some of these current and potential competitors have significant resources for developing or acquiring additional games, may be able to incorporate their own strong brands and assets into their games, have a more diversified set of revenue sources than we do and may be less severely affected by changes in consumer preferences, regulations or other developments that may impact our industry.</w:t>
      </w:r>
    </w:p>
    <w:p>
      <w:pPr>
        <w:spacing w:after="0" w:line="10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As there are relatively low barriers to entry to develop a mobile or online game, we expect new game competitors to enter the market and existing competitors to allocate more resources to develop and market competing games and applications. We also compete or will compete with a vast number of small companies and individuals who are able to create and launch games and other content for devices and platforms using relatively limited resources and with relatively limited start-up time or expertise. The proliferation of titles in these open developer channels makes it difficult for us to differentiate ourselves from other developers and to compete for players without substantially increasing our marketing expenses and development costs. Increasing competition could result in loss of players, increasing player acquisition and retention costs, and loss of talent, all of which could harm our business, financial condition or results of operations.</w:t>
      </w:r>
    </w:p>
    <w:p>
      <w:pPr>
        <w:spacing w:after="0" w:line="3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capital. If we are unable to compete effectively, successfully and at a reasonable cost against our existing and future competitors, our results of operations, cash flows and financial condition would be adversely impacted.</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inability of our products to achieve significant market acceptance, the failure to retain existing players, delays in product releases or disruptions following the commercial release of our products may have a material adverse effect on our business, financial condition and operating results.</w:t>
      </w:r>
    </w:p>
    <w:p>
      <w:pPr>
        <w:spacing w:after="0" w:line="6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New products may not achieve significant market acceptance, generate sufficient sales, or be introduced in a timely manner to permit us to recover development, manufacturing and marketing costs associated with these products. These products or enhancements may not be well-received by consumers, even if well-reviewed and of high quality. The life cycle of a console or PC title generally involves a relatively high level of sales during the first few months after introduction followed by a rapid decline in sales. Because sales associated with an initial product launch on console or PC generally constitute a high percentage of the total sales associated with the life of a product, delays in product releases or disruptions following the commercial release of one or more new products could have a material adverse effect on our business, financial condition, and operating results and therefore cause our operating results to be materially different from our expectations.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1" w:name="page12"/>
    <w:bookmarkEnd w:id="11"/>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to retain players, we must devote significant resources so that players stay engaged, which could also result in attracting them to our other games. We might not succeed in our efforts to increase monetization rates, particularly if we are unable to retain our paying players. If we fail to grow or sustain the number of our paying players, if the rates at which we attract and retain paying players declines (whether due to financial hardship as a result of an economic downturn or for any other reason), or if the average amount our players pay declines, our financial results could be negatively affected.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product development risks which could result in delays and additional costs, and we must adapt to changes in software technologies.</w:t>
      </w:r>
    </w:p>
    <w:p>
      <w:pPr>
        <w:spacing w:after="0" w:line="159" w:lineRule="exact"/>
        <w:rPr>
          <w:sz w:val="20"/>
          <w:szCs w:val="20"/>
          <w:color w:val="auto"/>
        </w:rPr>
      </w:pPr>
    </w:p>
    <w:p>
      <w:pPr>
        <w:jc w:val="both"/>
        <w:ind w:firstLine="171"/>
        <w:spacing w:after="0" w:line="258" w:lineRule="auto"/>
        <w:rPr>
          <w:sz w:val="20"/>
          <w:szCs w:val="20"/>
          <w:color w:val="auto"/>
        </w:rPr>
      </w:pPr>
      <w:r>
        <w:rPr>
          <w:rFonts w:ascii="Times New Roman" w:cs="Times New Roman" w:eastAsia="Times New Roman" w:hAnsi="Times New Roman"/>
          <w:sz w:val="17"/>
          <w:szCs w:val="17"/>
          <w:color w:val="auto"/>
        </w:rPr>
        <w:t>We depend on our internal development studios and third-party software developers to develop new interactive entertainment software within anticipated release schedules and cost projections. The development cycle for new titles generally ranges from 12 months or less for most mobile titles and annual console/PC sports releases, to multiple years for certain of our top-selling titles. Therefore, our development costs can be substantial. If we or our third-party developers experience unanticipated development delays, financial difficulties, or additional costs, for example, as a result of unforeseen circumstances, we may not be able to release titles according to our schedule and at budgeted costs. There can be no assurance that our products will be sufficiently successful so that we can recoup these costs or make a profit on these products. For our products with live services, we are required to support continued development. There can be no assurance that these continued efforts will generate sufficient revenue to offset these costs.</w:t>
      </w:r>
    </w:p>
    <w:p>
      <w:pPr>
        <w:spacing w:after="0" w:line="102" w:lineRule="exact"/>
        <w:rPr>
          <w:sz w:val="20"/>
          <w:szCs w:val="20"/>
          <w:color w:val="auto"/>
        </w:rPr>
      </w:pPr>
    </w:p>
    <w:p>
      <w:pPr>
        <w:jc w:val="both"/>
        <w:ind w:firstLine="281"/>
        <w:spacing w:after="0" w:line="257" w:lineRule="auto"/>
        <w:rPr>
          <w:sz w:val="20"/>
          <w:szCs w:val="20"/>
          <w:color w:val="auto"/>
        </w:rPr>
      </w:pPr>
      <w:r>
        <w:rPr>
          <w:rFonts w:ascii="Times New Roman" w:cs="Times New Roman" w:eastAsia="Times New Roman" w:hAnsi="Times New Roman"/>
          <w:sz w:val="17"/>
          <w:szCs w:val="17"/>
          <w:color w:val="auto"/>
        </w:rPr>
        <w:t>Additionally, in order to stay competitive, our internal development studios must anticipate and adapt to rapid technological changes affecting software development, such as cloud-based game streaming, and evolving business models, such as free-to-play and subscription-based access to a portfolio of interactive content. Rapid changes in our industry require us to anticipate, sometimes years in advance, the ways in which our products and services will be competitive in the market. We have invested, and in the future may invest, in new business and marketing strategies, technologies, distribution methods, products, and services. However, forecasting the financial impact of any such strategic investment is inherently uncertain and volatile. Supporting a new technology or business model, for example, may require partnering with a new platform, business, or technology partner, which may be on terms that are less favorable to us than those for traditional technologies or business models. There can be no assurance that these strategic investments will achieve expected returns.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1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reputation and brand could also be adversely affected. We also may miss opportunities or fail to respond quickly enough to adopt technology or distribution methods or develop products, services, or new ways to engage with our games that become popular with consumers, which could adversely affect our financial results. In either case, our products and services may be technologically inferior to those of our competitors, less appealing to consumers, or both.</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development and use of artificial intelligence (“AI”) into our products may present operational and reputational risks.</w:t>
      </w:r>
    </w:p>
    <w:p>
      <w:pPr>
        <w:spacing w:after="0" w:line="1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growth of AI technologies in our industry has influenced game production for developers and gaming experience for players. The use of this new and emerging technology, which is in its early stages of wider-spread commercial use, presents social and ethical issues that may result in legal and reputational harm and liability. Any integration of any AI technologies into our products or services may result in new or enhanced governmental or regulatory scrutiny, litigation, confidentiality or security risks, ethical concerns, negative user perceptions as to automation and AI, or other complications that could adversely affect our business, reputation, or financial results. Uncertainty around new and emerging AI technologies, such as generative AI, may require additional investment in the development of appropriate protections and safeguards for handling the use of data with AI technologies, which may be costly and could increase our expenses. Further, intellectual property ownership surrounding AI technologies has not been fully addressed by U.S. courts or other federal or state laws or regulations, and the use or adoption of third-party AI technologies into our products and services may result in exposure to claims of copyright infringement or other intellectual property misappropriation. While the impact of AI on our industry is still emerging and uncertain, to the extent our competitors successfully implement AI technologies into their products or services and we fail to adopt AI technologies effectively or experience delays in integrating these technologies into our operations, we may face significant risks to our competitive position, financial performance, and long-term growth prospects.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use of mobile devices as game platforms and the proliferation of mobile devices generally do not increase, our business could be adversely affected.</w:t>
      </w:r>
    </w:p>
    <w:p>
      <w:pPr>
        <w:spacing w:after="0" w:line="159" w:lineRule="exact"/>
        <w:rPr>
          <w:sz w:val="20"/>
          <w:szCs w:val="20"/>
          <w:color w:val="auto"/>
        </w:rPr>
      </w:pPr>
    </w:p>
    <w:p>
      <w:pPr>
        <w:jc w:val="both"/>
        <w:ind w:firstLine="190"/>
        <w:spacing w:after="0" w:line="270" w:lineRule="auto"/>
        <w:rPr>
          <w:sz w:val="20"/>
          <w:szCs w:val="20"/>
          <w:color w:val="auto"/>
        </w:rPr>
      </w:pPr>
      <w:r>
        <w:rPr>
          <w:rFonts w:ascii="Times New Roman" w:cs="Times New Roman" w:eastAsia="Times New Roman" w:hAnsi="Times New Roman"/>
          <w:sz w:val="17"/>
          <w:szCs w:val="17"/>
          <w:color w:val="auto"/>
        </w:rPr>
        <w:t>Following our acquisition of Zynga, an increased percentage of our operations consists of mobile gaming. The number of people using mobile Internet-enabled devices has increased dramatically over time, and we expect that this trend will continue. However, the mobile market, particularly the market for mobile games, may not grow in the way we anticipate.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2" w:name="page13"/>
    <w:bookmarkEnd w:id="12"/>
    <w:p>
      <w:pPr>
        <w:jc w:val="both"/>
        <w:spacing w:after="0" w:line="264" w:lineRule="auto"/>
        <w:rPr>
          <w:sz w:val="20"/>
          <w:szCs w:val="20"/>
          <w:color w:val="auto"/>
        </w:rPr>
      </w:pPr>
      <w:r>
        <w:rPr>
          <w:rFonts w:ascii="Times New Roman" w:cs="Times New Roman" w:eastAsia="Times New Roman" w:hAnsi="Times New Roman"/>
          <w:sz w:val="17"/>
          <w:szCs w:val="17"/>
          <w:color w:val="auto"/>
        </w:rPr>
        <w:t>future success is substantially dependent upon the continued growth of the market for mobile games. In addition, we do not currently offer our games on all mobile devices. If the mobile devices on which our games are available decline in popularity or become obsolete faster than anticipated, we could experience a decline in revenue and may not achieve the anticipated return on our development efforts. Any such declines in the growth of the mobile market or in the use of mobile devices for games could harm our business, financial condition or results of operations.</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Increased competition for limited shelf space and promotional support from retailers could affect the success of our business and require us to incur greater expenses to market our titles.</w:t>
      </w:r>
    </w:p>
    <w:p>
      <w:pPr>
        <w:spacing w:after="0" w:line="81"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7"/>
          <w:szCs w:val="17"/>
          <w:color w:val="auto"/>
        </w:rPr>
        <w:t>While digital sales are increasingly important to our business, for physical sales, retailers have limited shelf space and promotional resources. Competition is intense among newly introduced interactive entertainment software titles for adequate levels of shelf space and promotional support, with most and highest quality shelf space devoted to those products expected to be best sellers. We cannot be certain that our new products will consistently achieve bestseller status. Competition for retail shelf space is expected to continue to increase, which may require us to increase our marketing expenditures to maintain desirable sales levels of our titles. Competitors with more extensive lines and more popular titles may have greater bargaining power with retailers. Accordingly, we may not be able, or we may have to pay more than our competitors, to achieve similar levels of promotional support and shelf space. Similarly, as digital sales increase in importance to our business, there is increasing competition for premium placements of products on websites. Such placement is subject to many risks similar to the physical shelf space risks discussed above.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our ability to develop commercially successful products for the current video game platforms.</w:t>
      </w:r>
    </w:p>
    <w:p>
      <w:pPr>
        <w:spacing w:after="0" w:line="159" w:lineRule="exact"/>
        <w:rPr>
          <w:sz w:val="20"/>
          <w:szCs w:val="20"/>
          <w:color w:val="auto"/>
        </w:rPr>
      </w:pPr>
    </w:p>
    <w:p>
      <w:pPr>
        <w:jc w:val="both"/>
        <w:ind w:firstLine="281"/>
        <w:spacing w:after="0" w:line="258" w:lineRule="auto"/>
        <w:rPr>
          <w:sz w:val="20"/>
          <w:szCs w:val="20"/>
          <w:color w:val="auto"/>
        </w:rPr>
      </w:pPr>
      <w:r>
        <w:rPr>
          <w:rFonts w:ascii="Times New Roman" w:cs="Times New Roman" w:eastAsia="Times New Roman" w:hAnsi="Times New Roman"/>
          <w:sz w:val="17"/>
          <w:szCs w:val="17"/>
          <w:color w:val="auto"/>
        </w:rPr>
        <w:t>We derive a significant portion of our revenue from the sale of products made for video game platforms manufactured by third parties, such as Sony's PlayStation consoles and Microsoft's Xbox consoles, which comprised 37.3% of our net revenue by product platform for the fiscal year ended March 31, 2025. The success of our business is subject to the continued popularity of these platforms and our ability to develop commercially successful products for these platforms. We also rely on the availability of an adequate supply of these video game consoles (which sometimes has been negatively affected by supply chain issues, and which could be affected by an increase in tariffs on component parts) and the continued support for these consoles by their manufacturers, including our ability to reach consumers via the online networks operated by these console manufacturers. If the consoles for which we develop new software products or modify existing products do not attain significant consumer acceptance, we may not be able to recover our development costs, which could be significant and may further incur expense to adjust our products and development efforts in response to changing consumer preferences.</w:t>
      </w:r>
    </w:p>
    <w:p>
      <w:pPr>
        <w:spacing w:after="0" w:line="11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downloadable content,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9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Additionally, we derive a significant portion of our revenue from distribution of our games on the Apple App Store and the Google Play Store, and the virtual items we sell in our games are purchased using the payment processing systems of these platform providers. In the fiscal year ended March 31, 2025, we derived 92.9% of our mobile revenue on Apple and Google platforms. We are subject to the standard policies and terms of service of third-party platforms, which govern the promotion, distribution, content and operation generally of games on the platform. Each platform provider has broad discretion to change and interpret its terms of service and other policies with respect to us and other developers, and those changes may be unfavorable to us. 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players can share information with their friends on the platform or across platforms. For example, in April 2021, Apple began requiring developers to get explicit permission from users, on an app-by-app basis, to use the identifier-for-advertisers, a device identifier assigned by Apple to each of its devices and used by advertisers to attribute app installs to advertising campaigns, target users through user acquisition, and deliver targeted ads. These requirements are known as Apple's AppTracking Transparency framework and have been maintained in subsequent versions of Apple iOS. Additionally, in February 2022, Google announced plans to make privacy-focused changes to its Android advertising identifiers after a two-year process, taking into account feedback from developers, regulators and other interested parties. Also, beginning January 2024, Google began requiring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3" w:name="page14"/>
    <w:bookmarkEnd w:id="13"/>
    <w:p>
      <w:pPr>
        <w:jc w:val="both"/>
        <w:spacing w:after="0" w:line="287" w:lineRule="auto"/>
        <w:rPr>
          <w:sz w:val="20"/>
          <w:szCs w:val="20"/>
          <w:color w:val="auto"/>
        </w:rPr>
      </w:pPr>
      <w:r>
        <w:rPr>
          <w:rFonts w:ascii="Times New Roman" w:cs="Times New Roman" w:eastAsia="Times New Roman" w:hAnsi="Times New Roman"/>
          <w:sz w:val="17"/>
          <w:szCs w:val="17"/>
          <w:color w:val="auto"/>
        </w:rPr>
        <w:t>publishers and developers using certain Google advertising products to serve ads in the U.K. or European Union ("E.U.") to use a Google certified consent management platform. We continue to evaluate how these rules or changes may affect our business, operations and financial results.</w:t>
      </w:r>
    </w:p>
    <w:p>
      <w:pPr>
        <w:spacing w:after="0" w:line="8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third-party platforms also impose certain file size limitations, which may limit the ability of players to download some of our larger games in over-the-air updates. Aside from these over-the-air file size limitations, a larger game file size could cause players to delete our games once the file size grows beyond the capacity of their devices’ storage limitations or could reduce the number of downloads of these games.</w:t>
      </w:r>
    </w:p>
    <w:p>
      <w:pPr>
        <w:spacing w:after="0" w:line="10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Such changes of terms of use with third-party platforms may decrease the visibility or availability of our games, limit our distribution capabilities, prevent access to our existing games, reduce the amount of revenue and bookings we may recognize from in-game purchases, increase our costs to operate on these platforms or result in the exclusion or limitation of our games on such platforms. Any such changes could adversely affect our business, financial condition or results of operations.</w:t>
      </w:r>
    </w:p>
    <w:p>
      <w:pPr>
        <w:spacing w:after="0" w:line="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Moreover, 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adversely affect our business, financial condition or results of operations. Furthermore, obtaining and maintaining high ratings of our games on the third-party platforms on which we operate are important as they help drive players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players and revenues, additional advertising and marketing costs, and reputation harm.</w:t>
      </w:r>
    </w:p>
    <w:p>
      <w:pPr>
        <w:spacing w:after="0" w:line="1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players’ ability to access our games, access social features or purchase a license to virtual items, our business, financial condition, results of operations or reputation may be harmed.</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cannot publish our titles without the approval of hardware licensors that are also our competitors, and we rely on a limited number of channel partners, some of whom influence the fee structures for online distribution of our games on their platforms.</w:t>
      </w:r>
    </w:p>
    <w:p>
      <w:pPr>
        <w:spacing w:after="0" w:line="69" w:lineRule="exact"/>
        <w:rPr>
          <w:sz w:val="20"/>
          <w:szCs w:val="20"/>
          <w:color w:val="auto"/>
        </w:rPr>
      </w:pPr>
    </w:p>
    <w:p>
      <w:pPr>
        <w:jc w:val="both"/>
        <w:ind w:firstLine="220"/>
        <w:spacing w:after="0" w:line="257" w:lineRule="auto"/>
        <w:rPr>
          <w:sz w:val="20"/>
          <w:szCs w:val="20"/>
          <w:color w:val="auto"/>
        </w:rPr>
      </w:pPr>
      <w:r>
        <w:rPr>
          <w:rFonts w:ascii="Times New Roman" w:cs="Times New Roman" w:eastAsia="Times New Roman" w:hAnsi="Times New Roman"/>
          <w:sz w:val="17"/>
          <w:szCs w:val="17"/>
          <w:color w:val="auto"/>
        </w:rPr>
        <w:t>We are required to obtain licenses from certain of our competitors, including Sony and Microsoft, to develop and publish titles for their respective hardware platforms. Our existing platform licenses require that we obtain approval for the publication of new titles on a title-by-title basis. As a result, the number of titles we are able to publish for these hardware platforms, our ability to manage the timing of the release of these titles, and, accordingly, our net revenue from titles for these hardware platforms, may be limited. If a licensor chooses not to renew or extend our license agreement at the end of its current term, or if a licensor were to terminate our license for any reason or does not approve one or more of our titles, we may be unable to publish that title as well as additional titles for that licensor's platform. During or following a console transition, like the one that occurred in 2020, hardware platform manufacturers may seek to change the terms governing our relationships with them. Termination of any such agreements or disapproval of titles could seriously hurt our business and prospects. We may be unable to continue to enter into license agreements for certain current generation platforms on satisfactory terms or at all. Failure to enter into any such agreement could also seriously hurt our business. In addition, because our products compete with a vast array of other interactive entertainment software products that also are available on these hardware platforms, a hardware platform manufacturer may give priority to those competing products.</w:t>
      </w:r>
    </w:p>
    <w:p>
      <w:pPr>
        <w:spacing w:after="0" w:line="11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platform providers, such as Sony and Microsoft, control the networks over which consumers purchase digital products and services for their platforms and through which we provide online game capabilities for our products. The control that these platform providers have over consumer access to our games, the fee structures and/or retail pricing for products and services for their platforms and online networks and the terms and conditions under which we do business with them could impact the availability of our products or the volume of purchases of our products made over their networks and our profitability. The networks provided by these platform providers are the exclusive means of selling and distributing our content on these platforms. If the platform provider establishes terms that restrict our offerings on its platform, significantly alters the financial terms on which these products or services are offered, or does not approve the inclusion of content on its platform, our business could be negatively impacted. Increased competition for digital “shelf space” has put channel partners in more favorable bargaining positions in relation to such terms of distribution.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4" w:name="page15"/>
    <w:bookmarkEnd w:id="14"/>
    <w:p>
      <w:pPr>
        <w:jc w:val="both"/>
        <w:ind w:firstLine="619"/>
        <w:spacing w:after="0" w:line="213" w:lineRule="exact"/>
        <w:rPr>
          <w:sz w:val="20"/>
          <w:szCs w:val="20"/>
          <w:color w:val="auto"/>
        </w:rPr>
      </w:pPr>
      <w:r>
        <w:rPr>
          <w:rFonts w:ascii="Times New Roman" w:cs="Times New Roman" w:eastAsia="Times New Roman" w:hAnsi="Times New Roman"/>
          <w:sz w:val="17"/>
          <w:szCs w:val="17"/>
          <w:color w:val="auto"/>
        </w:rPr>
        <w:t>We also derive significant revenues from distribution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mobile and web platforms, such as the Apple App Store, the Google Play Store, and Facebook, which are also our direct competitors and, in some cases, the exclusive means through which our content reaches gamers on those platforms, and most of the virtual currency we sell is purchased using these platform providers’ payment processing systems. Because of the significant use of our games on mobile devices, our application must remain interoperable with these and other popular mobile app stores and platforms, and related hardware. We are subject to the standard policies and terms of service of these platforms. These policies and terms of service govern the availability, promotion, distribution, content, and operation of applications and experiences on such platforms. Each provider of these platforms has broad discretion to change and interpret its terms of service and policies with respect to our games and those changes may be unfavorable to us. If these platforms deny access to our games, or modify their current discovery mechanisms, communication channels available to developers, operating systems, or other policies and terms of service (including fees), our business could be negatively impacted. For example, at any time, the platform providers can change their policies on how we operate on their operating system or in their application stores by applying content moderation for applications and advertising or imposing technical or code requirements. These actions by the platform providers may affect our ability to collect, process, and use data as desired and could negatively impact our ability to leverage data about the experiences our games provide to players, which in turn could impact our resource planning and feature development planning for our products. These platform providers or their services may be unavailable, may not function as intended, or may experience issues with their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 purchasing functionality.</w:t>
      </w:r>
    </w:p>
    <w:p>
      <w:pPr>
        <w:spacing w:after="0" w:line="1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Some of these platforms have retained the right to change the fee structures for online distribution of both paid content and free content (including patches and corrections), and their ability to set or influence royalty rates may increase costs, which could negatively affect our operating margins. Further, if we are unable to distribute our content in a cost-effective or profitable manner through such distribution channels, it could adversely affect our business, financial condition, and operating results. There is no guarantee that new devices, platforms, systems and software application stores will continue to support our games or that we will be able to maintain the same level of service on these new systems. If it becomes more difficult for our players to access and engage with our games, our business and player retention, growth, and engagement could be significantly harmed.</w:t>
      </w:r>
    </w:p>
    <w:p>
      <w:pPr>
        <w:spacing w:after="0" w:line="10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complex information technology systems and networks to operate our business. Any significant system or network disruption or cyberattack could have a negative impact on our business.</w:t>
      </w:r>
    </w:p>
    <w:p>
      <w:pPr>
        <w:spacing w:after="0" w:line="6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rely on the efficient and uninterrupted operation of complex information technology systems and networks, some of which are within Take-Two and some of which are managed or hosted by third-party providers. The supply chain of hardware needed to maintain this technological infrastructure has been disrupted and geopolitical events, including the Russia-Ukraine war and the Israel-Hamas war and any indirect effects may further complicate existing supply chain constraints. All information technology systems and networks are potentially vulnerable to damage or interruption from a variety of sources, including but not limited to cyberattacks, computer viruses, malicious software, security breaches, energy blackouts, natural disasters, terrorism, war, and telecommunication or other critical infrastructure failures. We securely store the source code for our interactive entertainment software products as it is created. A breach, whether physical, electronic, or otherwise, of the systems on which such source code and other sensitive data are stored could lead to damage or piracy of our software. In addition, certain parties with whom we do business are given access to our sensitive and proprietary information in order to provide services and support our team. These third parties may misappropriate our information and engage in unauthorized use of it. A data intrusion into a server for a game with online features or for our proprietary online gaming service could also disrupt the operation of such game or platform. Further, the risk of such a breach may be heightened by world events, such as the Russia-Ukraine war and the Israel-Hamas war. If we or these third parties are subject to data security breaches, we may have a loss in sales or increased costs arising from the restoration or implementation of additional security measures which could materially and adversely affect our business, financial condition, and operating results. Any theft and/or unauthorized use or publication of our trade secrets and other confidential business information because of such an event could adversely affect our competitive position, reputation, brand, and future sales of our products. Our business could be subject to significant disruption, and we could suffer monetary and other losses and reputational harm, in the event of such incidents and claims.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have faced, and in the future could face, sophisticated attacks, including attacks referred to as advanced persistent threats, which are cyberattacks aimed at compromising our intellectual property and other commercially sensitive information, such as the source code and game assets for our software or confidential customer or employee information, which remain undetected for prolonged periods of time. In September 2022, we experienced a network intrusion in which an unauthorized third party illegally accessed and downloaded confidential information from Rockstar Games’ systems, including early development footage for the next Grand Theft Auto. Subsequently, also in September 2022, an unauthorized third party illegally accessed credentials for a vendor platform that 2K Games uses to provide help desk support to its customers. The unauthorized third party sent a communication to certain players containing a malicious link. 2K Games immediately notified all affected users and took steps to restrict further unauthorized activity until service was restored. In connection with this activity (the “Cybersecurity Incident”), we have incurred certain immaterial incremental one-time costs related to consultants, experts and data recovery efforts and expect to incur additional costs related to cybersecurity protections in the future. We have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 w:name="page16"/>
    <w:bookmarkEnd w:id="15"/>
    <w:p>
      <w:pPr>
        <w:jc w:val="both"/>
        <w:spacing w:after="0" w:line="270" w:lineRule="auto"/>
        <w:rPr>
          <w:rFonts w:ascii="Times New Roman" w:cs="Times New Roman" w:eastAsia="Times New Roman" w:hAnsi="Times New Roman"/>
          <w:sz w:val="17"/>
          <w:szCs w:val="17"/>
          <w:color w:val="0000FF"/>
        </w:rPr>
      </w:pPr>
      <w:hyperlink r:id="rId26">
        <w:r>
          <w:rPr>
            <w:rFonts w:ascii="Times New Roman" w:cs="Times New Roman" w:eastAsia="Times New Roman" w:hAnsi="Times New Roman"/>
            <w:sz w:val="17"/>
            <w:szCs w:val="17"/>
            <w:color w:val="auto"/>
          </w:rPr>
          <w:t>implemented and will continue to implement a variety of measures to enhance further our cybersecurity protections. See “</w:t>
        </w:r>
        <w:r>
          <w:rPr>
            <w:rFonts w:ascii="Times New Roman" w:cs="Times New Roman" w:eastAsia="Times New Roman" w:hAnsi="Times New Roman"/>
            <w:sz w:val="17"/>
            <w:szCs w:val="17"/>
            <w:u w:val="single" w:color="auto"/>
            <w:color w:val="0000FF"/>
          </w:rPr>
          <w:t>Part II, Item 7 - Management's</w:t>
        </w:r>
      </w:hyperlink>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u w:val="single" w:color="auto"/>
            <w:color w:val="0000FF"/>
          </w:rPr>
          <w:t>Discussion and Analysis of Financial Condition and Results of Operations - Cybersecurity Incident</w:t>
        </w:r>
        <w:r>
          <w:rPr>
            <w:rFonts w:ascii="Times New Roman" w:cs="Times New Roman" w:eastAsia="Times New Roman" w:hAnsi="Times New Roman"/>
            <w:sz w:val="17"/>
            <w:szCs w:val="17"/>
            <w:color w:val="000000"/>
          </w:rPr>
          <w:t>” in our Annual Report on Form 10-K for the fiscal year ended</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March 31, 2023 for further discussion. Our software supply chain may also be subject to attacks, which may result in future security incidents and breaches.</w:t>
      </w:r>
    </w:p>
    <w:p>
      <w:pPr>
        <w:spacing w:after="0" w:line="1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Information technology system disruptions, network failures, or security breaches (including the Cybersecurity Incident and similar incidents) have negatively affected, and in the future could negatively affect our business continuity, operations, financial results, and the reliability and stability of our products and services. These risks extend to the networks and e-commerce sites of console platform providers and other partners who sell or host our content online. The risk of such threats is heightened by events outside of our control, such as the extended period of remote work arrangements, the Russia-Ukraine war and the Israel-Hamas war. The risk could also be affected by events substantially within our control, such as the migration of data among data centers and to third-party hosted environments, and the performance of upgrades and maintenance on our systems. Along with our partners, we have expended, and expect to continue to expend, financial and operational resources to implement certain systems, processes, and technologies to guard against cyber risks and to help protect our data and systems. However, the techniques used to exploit, disable, damage, disrupt or gain access to our networks, our products and services, supporting technological infrastructure, intellectual property and other assets change frequently, continue to evolve in sophistication and volume, and may not be detected for long periods of time.</w:t>
      </w:r>
    </w:p>
    <w:p>
      <w:pPr>
        <w:spacing w:after="0" w:line="3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systems, processes and technologies, and the systems, processes and technologies of our business partners or our third-party service providers, have not been and in the future may not be adequate against all eventualities. We do not have redundancy for all our systems and our disaster recovery planning may not account for all outcomes. As our digital business grows, we will require an increasing amount of internal and external technical infrastructure, including network capacity and computing power to continue to satisfy the needs of our players. It is possible that we may fail to scale effectively and grow this technical infrastructure to accommodate increased demands, which may adversely affect the reliable and stable performance of our games and services, therefore negatively</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impacting our business</w:t>
      </w:r>
      <w:r>
        <w:rPr>
          <w:rFonts w:ascii="Times New Roman" w:cs="Times New Roman" w:eastAsia="Times New Roman" w:hAnsi="Times New Roman"/>
          <w:sz w:val="20"/>
          <w:szCs w:val="20"/>
          <w:color w:val="65B4B4"/>
        </w:rPr>
        <w:t>.</w:t>
      </w:r>
      <w:r>
        <w:rPr>
          <w:rFonts w:ascii="Times New Roman" w:cs="Times New Roman" w:eastAsia="Times New Roman" w:hAnsi="Times New Roman"/>
          <w:sz w:val="17"/>
          <w:szCs w:val="17"/>
          <w:color w:val="auto"/>
        </w:rPr>
        <w:t xml:space="preserve"> In addition, the costs to respond to, mitigate, or notify affected parties of cyberattacks and other security vulnerabilities are significant. Failures to prevent or mitigate security breaches or cyber risks, or detect or respond adequately to a security breach or cyber risk, could result in a loss of anticipated revenue, interruptions to our products and services, our having to incur significant remediation and notification costs, a degradation of the user experience, causing consumers to lose confidence in our products and services, and thereby harming our reputation, prompting regulatory inquiries and significant legal and financial costs. Additionally, applicable insurance policies may be insufficient to reimburse us for all such losses, and it is uncertain whether we will be able to maintain the current level of insurance coverage in the future on commercially reasonable terms or at all.</w:t>
      </w:r>
    </w:p>
    <w:p>
      <w:pPr>
        <w:spacing w:after="0" w:line="10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7"/>
          <w:szCs w:val="17"/>
          <w:color w:val="auto"/>
        </w:rPr>
        <w:t>Successful exploitation of any vulnerabilities in our systems can have other negative effects upon the products, services and user experience we offer. In particular, the virtual economies that we have established in many of our games are subject to abuse, exploitation and other forms of fraudulent activity that can negatively affect our business. Virtual economies involve the use of virtual currency or virtual assets that can be used or redeemed by a player within a particular game or service. Although we have implemented and continue to develop programs reasonably designed to prevent such negative impacts, the abuse or exploitation of our virtual economies can include the illegitimate generation and sale of accounts and/or virtual items in black markets. These kinds of activities and the steps that we take to address and prevent these issues may result in a loss of anticipated revenue, interfere with players’ enjoyment of a balanced game environment and cause reputational harm.</w:t>
      </w:r>
    </w:p>
    <w:p>
      <w:pPr>
        <w:spacing w:after="0" w:line="1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if our consumer data protection measures are not seen as adequate or there are breaches of our security measures or unintended disclosures of consumer data.</w:t>
      </w:r>
    </w:p>
    <w:p>
      <w:pPr>
        <w:spacing w:after="0" w:line="8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7"/>
          <w:szCs w:val="17"/>
          <w:color w:val="auto"/>
        </w:rPr>
        <w:t>We collect and store consumer information, including personal information. We take measures to protect the consumer information we hold from unauthorized access or disclosure. It is possible that our security controls over consumer information may not prevent the improper access to, use of, or disclosure of personal information. In addition, due to the high-profile nature of our products, we may draw a disproportionately higher amount of attention and attempts to breach our security controls than companies with lower profile products. A security incident, such as the Cybersecurity Incident, that leads to disclosure of consumer information (including personal information) could harm our reputation, compel us to comply with disparate breach notification laws in various locations and otherwise subject us to liability under laws that protect personal information, any of which could result in increased costs or loss of revenue. A resulting perception that our products or services do not adequately protect personal information could result in a loss of current or potential consumers and business partners. In addition, if any of our business partners experience a security incident that leads to disclosure of consumer information, our reputation could be harmed, resulting in loss of revenue.</w:t>
      </w:r>
    </w:p>
    <w:p>
      <w:pPr>
        <w:spacing w:after="0" w:line="101" w:lineRule="exact"/>
        <w:rPr>
          <w:sz w:val="20"/>
          <w:szCs w:val="20"/>
          <w:color w:val="auto"/>
        </w:rPr>
      </w:pPr>
    </w:p>
    <w:p>
      <w:pPr>
        <w:jc w:val="both"/>
        <w:ind w:firstLine="179"/>
        <w:spacing w:after="0" w:line="270" w:lineRule="auto"/>
        <w:rPr>
          <w:sz w:val="20"/>
          <w:szCs w:val="20"/>
          <w:color w:val="auto"/>
        </w:rPr>
      </w:pPr>
      <w:r>
        <w:rPr>
          <w:rFonts w:ascii="Times New Roman" w:cs="Times New Roman" w:eastAsia="Times New Roman" w:hAnsi="Times New Roman"/>
          <w:sz w:val="17"/>
          <w:szCs w:val="17"/>
          <w:color w:val="auto"/>
        </w:rPr>
        <w:t>In addition, certain of our products include online functionality. The ability of our products to enable this functionality, and our ability to offer content through a video game platform's digital distribution channel, is dependent upon the continued operation and security of such platform's online network. These third-party networks, as well as our own internal systems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17"/>
          <w:szCs w:val="17"/>
          <w:color w:val="auto"/>
        </w:rPr>
        <w:t>websites, and the related security measures may be breached as a result of third-party action, including intentional misconduct by computer hackers, employee error, malfeasance or otherwise, and result in someone obtaining unauthorized access to our customers' information or our data, including our intellectual property and other confidential business information, or our information technology systems. Because the techniques used to obtain unauthorized access, or to sabotage systems, change frequently and generally are not recognized until launched against a target, we may be unable to anticipate these techniques or to implement adequate preventative measures. Compounding these risks, as artificial intelligence capabilities develop rapidly, individuals or groups of hackers and sophisticated organizations, may use these technologies to create new sophisticated attack methods that are increasingly automated, targeted, coordinated, and more difficult to defend against. Further, the risk of such a breach may be heightened by world events, such as the Russia-Ukraine war and the Israel-Hamas war. If an actual or perceived breach of our safeguards occurs, we may lose business, suffer irreparable damage to our reputation, and/or incur significant costs and expenses relating to the investigation and possible litigation of claims relating to such event.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key management and product development personnel.</w:t>
      </w:r>
    </w:p>
    <w:p>
      <w:pPr>
        <w:spacing w:after="0" w:line="159" w:lineRule="exact"/>
        <w:rPr>
          <w:sz w:val="20"/>
          <w:szCs w:val="20"/>
          <w:color w:val="auto"/>
        </w:rPr>
      </w:pPr>
    </w:p>
    <w:p>
      <w:pPr>
        <w:jc w:val="both"/>
        <w:ind w:firstLine="275"/>
        <w:spacing w:after="0" w:line="260" w:lineRule="auto"/>
        <w:rPr>
          <w:sz w:val="20"/>
          <w:szCs w:val="20"/>
          <w:color w:val="auto"/>
        </w:rPr>
      </w:pPr>
      <w:r>
        <w:rPr>
          <w:rFonts w:ascii="Times New Roman" w:cs="Times New Roman" w:eastAsia="Times New Roman" w:hAnsi="Times New Roman"/>
          <w:sz w:val="17"/>
          <w:szCs w:val="17"/>
          <w:color w:val="auto"/>
        </w:rPr>
        <w:t xml:space="preserve">Our continued success will depend to a significant extent on our senior management team and our relationship with ZMC Advisors, L.P. ("ZMC"). Our Executive Chairman/Chief Executive Officer and President are partners of ZMC. We are also highly dependent on the expertise, skills and knowledge of our key creative personnel responsible for content creation and development, such as of 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and other hit titles. We may not be able to continue to retain these personnel at current compensation levels or at all. Our industry is generally characterized by a high level of employee mobility, competitive compensation programs, and aggressive recruiting among competitors for employees with technical, marketing, sales, engineering, product development, creative, and/or management skills.</w:t>
      </w:r>
    </w:p>
    <w:p>
      <w:pPr>
        <w:spacing w:after="0" w:line="96" w:lineRule="exact"/>
        <w:rPr>
          <w:sz w:val="20"/>
          <w:szCs w:val="20"/>
          <w:color w:val="auto"/>
        </w:rPr>
      </w:pPr>
    </w:p>
    <w:p>
      <w:pPr>
        <w:jc w:val="both"/>
        <w:ind w:firstLine="186"/>
        <w:spacing w:after="0" w:line="264" w:lineRule="auto"/>
        <w:rPr>
          <w:sz w:val="20"/>
          <w:szCs w:val="20"/>
          <w:color w:val="auto"/>
        </w:rPr>
      </w:pPr>
      <w:r>
        <w:rPr>
          <w:rFonts w:ascii="Times New Roman" w:cs="Times New Roman" w:eastAsia="Times New Roman" w:hAnsi="Times New Roman"/>
          <w:sz w:val="17"/>
          <w:szCs w:val="17"/>
          <w:color w:val="auto"/>
        </w:rPr>
        <w:t>The loss of the services of our executive officers, ZMC, or certain key creative personnel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Attracting, managing and retaining our talent is critical to our success.</w:t>
      </w:r>
    </w:p>
    <w:p>
      <w:pPr>
        <w:spacing w:after="0" w:line="15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business depends on our ability to attract, train, motivate, and retain executive, technical, creative, marketing, and other personnel that are essential to the development, marketing, and support of our products and services. The market for highly-skilled workers and leaders in our industry is extremely competitive, particularly in the geographic locations in which many of our key personnel are located. In addition, our leading position within the interactive entertainment industry makes us a prime target for recruiting our executives, as well as key creative and technical talent. If we cannot successfully recruit, train, motivate, attract, and retain qualified employees, develop and maintain a healthy culture, or replace key employees following their departure, our reputation, brand, and culture may be negatively affected and our business will be impaired. Our global workforce is primarily non-unionized, but we are aware of an increase in the industry of workers exercising their right to form or join a union. If significant employee populations were to unionize, we could experience operational changes that may materially impact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or reputation may be harmed as a result of offensive or potentially dangerous consumer-created content.</w:t>
      </w:r>
    </w:p>
    <w:p>
      <w:pPr>
        <w:spacing w:after="0" w:line="159" w:lineRule="exact"/>
        <w:rPr>
          <w:sz w:val="20"/>
          <w:szCs w:val="20"/>
          <w:color w:val="auto"/>
        </w:rPr>
      </w:pPr>
    </w:p>
    <w:p>
      <w:pPr>
        <w:jc w:val="both"/>
        <w:ind w:firstLine="195"/>
        <w:spacing w:after="0" w:line="258" w:lineRule="auto"/>
        <w:rPr>
          <w:sz w:val="20"/>
          <w:szCs w:val="20"/>
          <w:color w:val="auto"/>
        </w:rPr>
      </w:pPr>
      <w:r>
        <w:rPr>
          <w:rFonts w:ascii="Times New Roman" w:cs="Times New Roman" w:eastAsia="Times New Roman" w:hAnsi="Times New Roman"/>
          <w:sz w:val="17"/>
          <w:szCs w:val="17"/>
          <w:color w:val="auto"/>
        </w:rPr>
        <w:t>We are subject to risks associated with the collaborative online features in our games which allow consumers to post narrative comments, in real time, that are visible to other consumers. From time to time, objectionable and offensive or potentially dangerous consumer content may be posted to a gaming or other site with online chat features or game forums which allow consumers to post comments. We have been and may be subject to lawsuits, governmental inquiries and regulation or restrictions, and consumer backlash (including decreased sales and harmed reputation), as a result of consumers posting offensive content. We may also be subject to consumer backlash from comments made in response to postings we make on social media sites such as Facebook, YouTube and X. If we fail to appropriately respond to the dissemination of such content, our players may not engage with our products and services and/or may lose confidence in our brands, and our financial results may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partly dependent on our ability to enter into successful software development arrangements with third parties.</w:t>
      </w:r>
    </w:p>
    <w:p>
      <w:pPr>
        <w:spacing w:after="0" w:line="146" w:lineRule="exact"/>
        <w:rPr>
          <w:sz w:val="20"/>
          <w:szCs w:val="20"/>
          <w:color w:val="auto"/>
        </w:rPr>
      </w:pPr>
    </w:p>
    <w:p>
      <w:pPr>
        <w:jc w:val="both"/>
        <w:ind w:firstLine="229"/>
        <w:spacing w:after="0" w:line="264" w:lineRule="auto"/>
        <w:rPr>
          <w:sz w:val="20"/>
          <w:szCs w:val="20"/>
          <w:color w:val="auto"/>
        </w:rPr>
      </w:pPr>
      <w:r>
        <w:rPr>
          <w:rFonts w:ascii="Times New Roman" w:cs="Times New Roman" w:eastAsia="Times New Roman" w:hAnsi="Times New Roman"/>
          <w:sz w:val="17"/>
          <w:szCs w:val="17"/>
          <w:color w:val="auto"/>
        </w:rPr>
        <w:t>Our success depends on our ability to continually identify and develop new titles timely. We rely on third-party software developers for the development of some of our titles. Quality third-party developers are continually in high demand, and those who have developed titles for us in the past may not be available to develop software for us in the future. Due to the limited availability of third-party software developers and the limited control that we exercise over them, these developers may not be able to complete titles for us on a timely basis or within acceptable quality standards, if at all. We have entered into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7"/>
          <w:szCs w:val="17"/>
          <w:color w:val="auto"/>
        </w:rPr>
        <w:t>agreements with third parties to acquire the rights to publish and distribute interactive entertainment software as well as to use licensed intellectual properties in our titles. These agreements typically require us to make development payments, pay royalties, and satisfy other conditions. Our development payments may not be sufficient to permit developers to develop new software successfully, which could result in material delays and significant increases in our costs to bring particular products to market. Software development costs, promotion and marketing expenses and royalties payable to software developers and third-party licensors have continued to increase and reduce potential profits derived from sales of our software.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11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disputes occasionally arise with external developers, including with respect to game content, launch timing, achievement of certain milestones, the game development timeline, marketing campaigns, contractual terms, and interpretation. If we have disputes with external developers or they cannot meet product development schedules, acquire certain approvals or are otherwise unable or unwilling to honor their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spacing w:after="0" w:line="1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harmed if our distributors, retailers, development, and licensing partners, or other third parties with whom we do business are unable to honor their commitments or act in ways that put our brand at risk.</w:t>
      </w:r>
    </w:p>
    <w:p>
      <w:pPr>
        <w:spacing w:after="0" w:line="6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many cases, our business partners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with respect to third parties including consumers who play our games, this could also damage our reputation or our business. Further, should we terminate our relationship with a third-party business partner for any reason, we may experience interruptions in our business and incur costs as we transition to a new partner.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increasing importance of digital sales and free-to-play games to our business exposes us to the risks of that business model, including greater competition.</w:t>
      </w:r>
    </w:p>
    <w:p>
      <w:pPr>
        <w:spacing w:after="0" w:line="159" w:lineRule="exact"/>
        <w:rPr>
          <w:sz w:val="20"/>
          <w:szCs w:val="20"/>
          <w:color w:val="auto"/>
        </w:rPr>
      </w:pPr>
    </w:p>
    <w:p>
      <w:pPr>
        <w:jc w:val="both"/>
        <w:ind w:firstLine="619"/>
        <w:spacing w:after="0" w:line="208" w:lineRule="exact"/>
        <w:rPr>
          <w:sz w:val="20"/>
          <w:szCs w:val="20"/>
          <w:color w:val="auto"/>
        </w:rPr>
      </w:pPr>
      <w:r>
        <w:rPr>
          <w:rFonts w:ascii="Times New Roman" w:cs="Times New Roman" w:eastAsia="Times New Roman" w:hAnsi="Times New Roman"/>
          <w:sz w:val="17"/>
          <w:szCs w:val="17"/>
          <w:color w:val="auto"/>
        </w:rPr>
        <w:t>The proportion of our revenues derived from digital content delivery, as compared to traditional retail sales, has increased significantly in recent years. The increased importance of digital content delivery in our industry, including through subscription-based access to a portfolio of interactive content, increases our potential competition, as the minimum capital needed to produce and publish a digitally delivered game is significantly less than that needed to produce and publish one that is delivered through retail distribution. This shift also requires us to dedicate capital to developing and implementing alternative marketing strategies, which may not be successful. If either occurs, we may be unable to effectively market and distribute our products, which could materially adversely affect our business, financial condition, and operating results. In addition, a continuing shift to digital delivery could result in a deprioritization of our products by traditional retailers. Also, while digitally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distributed products generally have higher profit margins than retail sales, as business shifts to digital distribution, the volume of orders from retailers for physical discs has been, and is expected to be, reduced.</w:t>
      </w:r>
    </w:p>
    <w:p>
      <w:pPr>
        <w:spacing w:after="0" w:line="77" w:lineRule="exact"/>
        <w:rPr>
          <w:sz w:val="20"/>
          <w:szCs w:val="20"/>
          <w:color w:val="auto"/>
        </w:rPr>
      </w:pPr>
    </w:p>
    <w:p>
      <w:pPr>
        <w:jc w:val="both"/>
        <w:ind w:firstLine="619"/>
        <w:spacing w:after="0" w:line="216" w:lineRule="exact"/>
        <w:rPr>
          <w:sz w:val="20"/>
          <w:szCs w:val="20"/>
          <w:color w:val="auto"/>
        </w:rPr>
      </w:pPr>
      <w:r>
        <w:rPr>
          <w:rFonts w:ascii="Times New Roman" w:cs="Times New Roman" w:eastAsia="Times New Roman" w:hAnsi="Times New Roman"/>
          <w:sz w:val="17"/>
          <w:szCs w:val="17"/>
          <w:color w:val="auto"/>
        </w:rPr>
        <w:t>We are also increasingly dependent on our ability to develop, enhance, and monetize free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play games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such, we are increasingly exposed to the risks of the free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play business model. For example, we may invest in the development of new free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play interactive entertainment products that do not achieve significant commercial success, in which case our revenues from those products likely will be lower than anticipated and we may not recover our development costs. Further, our business may be negatively impacted if: (i) we are unable to encourage new and existing consumers to purchase our virtual items, (ii) we fail to offer monetization features that appeal to these consumers, (iii) our platform providers make it more difficult or expensive for players to purchase our virtual items, (iv) we cannot encourage significant additional consumers to purchase virtual items in our game, or (v) our free-to-play releases reduce sales of our other games.</w:t>
      </w:r>
    </w:p>
    <w:p>
      <w:pPr>
        <w:spacing w:after="0" w:line="13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Successfully monetizing free-to-play games is difficult and requires that we deliver valuable and entertaining player experiences that a sufficient number of players will pay for or that we are able to otherwise sufficiently monetize our games (for example, by serving in-game advertising). The success of our games depends, in part, on unpredictable and volatile factors beyond our control including consumer preferences, competing games, new mobile platforms and the availability of other entertainment experiences. If our games do not meet consumer expectations, or if they are not brought to market in a timely and effective manner, our revenue and financial performance will be negatively affected.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8" w:name="page19"/>
    <w:bookmarkEnd w:id="18"/>
    <w:p>
      <w:pPr>
        <w:ind w:firstLine="619"/>
        <w:spacing w:after="0" w:line="287" w:lineRule="auto"/>
        <w:rPr>
          <w:sz w:val="20"/>
          <w:szCs w:val="20"/>
          <w:color w:val="auto"/>
        </w:rPr>
      </w:pPr>
      <w:r>
        <w:rPr>
          <w:rFonts w:ascii="Times New Roman" w:cs="Times New Roman" w:eastAsia="Times New Roman" w:hAnsi="Times New Roman"/>
          <w:sz w:val="17"/>
          <w:szCs w:val="17"/>
          <w:color w:val="auto"/>
        </w:rPr>
        <w:t>In addition to the market factors noted above, our ability to successfully develop games for mobile platforms and their ability to achieve commercial success will depend on our ability to:</w:t>
      </w:r>
    </w:p>
    <w:p>
      <w:pPr>
        <w:spacing w:after="0" w:line="87"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market our games to existing and new players;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benefits from our player acquisition costs;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viral organic growth and gain customer interest in our games through free or more efficient channels;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 to changing player preferences;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 to new technologies and feature sets for mobile and other devices;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and enhance games after their initial release;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motivate talented and experienced game designers, product managers and engineers;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 with mobile platforms and obtain featuring opportunities;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adapt game feature sets for an increasingly diverse set of mobile devices, including various operating systems and specifications, limited bandwidth and varying processing power and screen sizes;</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minimize launch delays and cost overruns on the development of new games and features;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and maintain successful customer engagement and effectively monetize our games;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quality social game experience and retain our players;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games that can build upon or become franchise games;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compete successfully against a large and growing number of existing market participants;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accurately forecast the timing and expense of our operations, including game and feature development, marketing and customer acquisition, customer adoption and success of bookings growth;</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minimize and quickly resolve bugs or outages;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and successfully integrate high quality mobile game assets, personnel or companies.</w:t>
      </w:r>
    </w:p>
    <w:p>
      <w:pPr>
        <w:spacing w:after="0" w:line="1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These and other uncertainties make it difficult to know whether we will succeed in continuing to develop successful live service games and launch new games and features in accordance with our operating plan. If we do not succeed in doing so, our business, financial condition, results of operations and reputation will suffer.</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derive revenues from advertisements and offers that are incorporated into our free-to-play games through relationships with third parties. If we are unable to continue to compete for these advertisements and offers, or if any events occur that negatively impact our relationships with advertisers, such as adverse litigation, regulatory investigations, federal or state legislation that requires more device settings to opt-out of advertising, analytics, data sharing with third party services or other changes made by these third parties, our advertising revenues and operating results would be negatively impacted.</w:t>
      </w:r>
    </w:p>
    <w:p>
      <w:pPr>
        <w:spacing w:after="0" w:line="10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derive revenue from advertisements and offers we serve to players. We need to maintain good relationships with advertisers to provide us with a sufficient inventory of advertisements and offers. Online advertising, including through mobile games and other mobile applications, is an intensely competitive industry. Many large companies, such as Amazon, Facebook and Google, invest significantly in data analytics to make their websites and platforms more attractive to advertisers. For our advertising business to continue to succeed, we need to continue to demonstrate the reach of our player network and success of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 Alternatively, if our advertising inventory is unavailable and demand exceeds supply, our ability to generate further revenues from advertising would be limited, particularly during peak hours and in key geographies. This could have an adverse effect on our reputation and our business, financial condition, and results of operations. In addition, if we include advertising in our games that players view as excessive, such advertising may materially detract from players’ gaming experiences, thereby creating player dissatisfaction, which may cause us to lose players and revenues and may negatively affect the in-game experience for players making purchases of virtual items in our games.</w:t>
      </w:r>
    </w:p>
    <w:p>
      <w:pPr>
        <w:spacing w:after="0" w:line="1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Internet-connected devices and operating systems controlled by third parties increasingly contain features that allow device users to disable functionality that allows for the delivery of targeted advertising on their devices. Device and browser manufacturers may include or expand these features as part of their standard device specifications, and state or federal regulators may mandate more user settings to limit targeted advertising, analytics, or other data sharing with third parties. For example, Apple previously created a proprietary identifier-for-advertisers, which simplifies the process for Apple users to opt out of certain types of advertising. In April 2021, Apple began requiring developers to get explicit permission from users, on an app-by-app basis, to use the identifier-for-advertisers, a device identifier assigned by Apple to each of its devices and used by advertisers to attribute app installs to advertising, campaigns and target users through user acquisition, and deliver targeted ads. These requirements are known as Apple’s AppTracking Transparency framework and have been maintained in subsequent versions of Apple iOS. Beginning January 2024, Google began requiring publishers and developers using certain Google advertising products to serve ads in the U.K. or E.U. to use a Google-certified consent management platform. There has also been a significant increase of litigation related to data sharing with third parties, including advertising partners. This has driven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7"/>
          <w:szCs w:val="17"/>
          <w:color w:val="auto"/>
        </w:rPr>
        <w:t>a need for more specific consent from users for sharing of their personal information, user interaction, and video viewing information with third parties, and it could lead to additional changes from our third party advertising and analytics partners. If users do not elect to participate in functionality that supports the delivery of targeted advertising on their devices, our ability to deliver effective advertising campaigns on behalf of our advertisers could suffer, which could cause our business, financial condition, or results of operations to suffer.</w:t>
      </w:r>
    </w:p>
    <w:p>
      <w:pPr>
        <w:spacing w:after="0" w:line="1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Finally, the revenues that we derive from advertisements and offers is subject both to seasonality, as companies’ advertising budgets are generally highest during the fourth calendar quarter and decline significantly in the first calendar quarter of the following year, which negatively impacts our revenues in such first calendar quarter, and to the financial health of advertisers, who, as they experience downturns or uncertainty in their own business operations for various reasons, such as the economic effects resulting from world events, may decrease their advertising spending.</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69" w:lineRule="exact"/>
        <w:rPr>
          <w:sz w:val="20"/>
          <w:szCs w:val="20"/>
          <w:color w:val="auto"/>
        </w:rPr>
      </w:pPr>
    </w:p>
    <w:p>
      <w:pPr>
        <w:jc w:val="both"/>
        <w:ind w:firstLine="203"/>
        <w:spacing w:after="0" w:line="264" w:lineRule="auto"/>
        <w:rPr>
          <w:sz w:val="20"/>
          <w:szCs w:val="20"/>
          <w:color w:val="auto"/>
        </w:rPr>
      </w:pPr>
      <w:r>
        <w:rPr>
          <w:rFonts w:ascii="Times New Roman" w:cs="Times New Roman" w:eastAsia="Times New Roman" w:hAnsi="Times New Roman"/>
          <w:sz w:val="17"/>
          <w:szCs w:val="17"/>
          <w:color w:val="auto"/>
        </w:rPr>
        <w:t>If appropriate opportunities present themselves, we may acquire or make investments in businesses, intellectual properties and other assets that we believe are strategic, such as our acquisitions of Zynga and Gearbox. We may not be able to identify, negotiate or finance any future acquisition or investment successfully. Even if we do succeed in acquiring or investing in a business, intellectual property or other asset, such acquisitions and investments involve a number of risks, including:</w:t>
      </w:r>
    </w:p>
    <w:p>
      <w:pPr>
        <w:spacing w:after="0" w:line="107"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retaining key employees and maintaining the key business and customer relationships of the businesses we acquire;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an acquired company or business into our organization;</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combined company would not achieve the expected benefits, including any anticipated operating and product synergies, of the acquisition as quickly as anticipated or that the costs of, or operational difficulties arising from, an acquisition would be greater than anticipated;</w:t>
      </w: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the acquired business to underperform relative to our expectations and the acquisition price;</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tax consequences from the acquisition, or the tax treatment of the acquired business's operations going forward, giving rise to incremental tax liabilities that are difficult to predict;</w:t>
      </w: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acquisition-related accounting adjustments, particularly relating to an acquired company's deferred revenue, that may cause reported revenue and profits of the combined company to be lower than the sum of their stand-alone revenue and profits;</w:t>
      </w: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accounting charges resulting from the completion and integration of a sizable acquisition and increased capital expenditures, including potential impairment charges incurred to write down the carrying amount of intangible assets generated as a result of an acquisition;</w:t>
      </w: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significant acquisitions, when not managed cautiously, may result in the over-extension of our existing operating infrastructures, internal controls and information technology systems;</w:t>
      </w:r>
    </w:p>
    <w:p>
      <w:pPr>
        <w:jc w:val="both"/>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will not discover important facts during due diligence that could have a material adverse effect on the value of the businesses we acquire, including the possibility that a change of control of a company we acquire triggers a termination of contractual or intellectual property rights important to the operation of its business;</w:t>
      </w:r>
    </w:p>
    <w:p>
      <w:pPr>
        <w:jc w:val="both"/>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integrate an acquired company's accounting, management information, human resource and other administrative systems to permit effective management and timely reporting, and the need to implement or remediate controls, procedures and policies appropriate for a public company in an acquired company that, prior to the acquisition, lacked these controls, procedures and policies;</w:t>
      </w: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in connection with, or inheritance of claims or litigation risks as a result of, an acquisition, including claims from terminated employees, customers or other third parties;</w:t>
      </w: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engage in strategic transactions outside of the U.S., we face additional risks, including risks related to integration of operations across different cultures and languages, currency risks and the particular economic, political and regulatory risks associated with specific countries; and</w:t>
      </w:r>
    </w:p>
    <w:p>
      <w:pPr>
        <w:jc w:val="both"/>
        <w:ind w:left="620" w:hanging="307"/>
        <w:spacing w:after="0" w:line="25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controls, procedures and policies appropriate for a larger, U.S.-based public company at companies that prior to acquisition may not have as robust controls, procedures and policies, particularly, with respect to the effectiveness of cyber and information security practices and incident response plans, compliance with data privacy and protection and other laws and regulations protecting the rights of players and customers, and compliance with U.S.-based economic policies and sanctions which may not have previously been applicable to the acquired company’s operations.</w:t>
      </w:r>
    </w:p>
    <w:p>
      <w:pPr>
        <w:spacing w:after="0" w:line="11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0" w:name="page21"/>
    <w:bookmarkEnd w:id="20"/>
    <w:p>
      <w:pPr>
        <w:jc w:val="both"/>
        <w:ind w:firstLine="174"/>
        <w:spacing w:after="0" w:line="261" w:lineRule="auto"/>
        <w:rPr>
          <w:sz w:val="20"/>
          <w:szCs w:val="20"/>
          <w:color w:val="auto"/>
        </w:rPr>
      </w:pPr>
      <w:r>
        <w:rPr>
          <w:rFonts w:ascii="Times New Roman" w:cs="Times New Roman" w:eastAsia="Times New Roman" w:hAnsi="Times New Roman"/>
          <w:sz w:val="17"/>
          <w:szCs w:val="17"/>
          <w:color w:val="auto"/>
        </w:rPr>
        <w:t>Future acquisitions and investments could also involve the issuance of our equity and equity-linked securities (potentially diluting our existing stockholders), the incurrence of debt, contingent liabilities or amortization expenses, write-offs of goodwill, intangibles, or acquired in-process technology, or other increased cash and non-cash expenses such as stock-based compensation. Any of the foregoing factors could harm our financial condition or prevent us from achieving improvements in our financial condition and operating performance that could have otherwise been achieved by us on a stand-alone basis. Our stockholders may not have the opportunity to review, vote on or evaluate future acquisitions or investments.</w:t>
      </w:r>
    </w:p>
    <w:p>
      <w:pPr>
        <w:spacing w:after="0" w:line="11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to acquisitions, we have divested and may in the future make additional divestments of certain products and services, including by shutting down studios, that no longer fit our long-term strategies. Divestitures may adversely impact our business, operating results, and financial condition if we are unable to achieve the anticipated benefits or cost savings from such divestitures, or if we are unable to offset impacts from the loss of revenue associated with the divested product lines or technologies. In connection with these divestitures and other cost-optimization efforts, we have experienced several rounds of layoffs in the recent past, which could negatively affect our reputation and our ability to recruit new employees in the future. Any future layoffs could similarly harm our reputation and hinder our recruitment efforts.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from our international operations.</w:t>
      </w:r>
    </w:p>
    <w:p>
      <w:pPr>
        <w:spacing w:after="0" w:line="146"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7"/>
          <w:szCs w:val="17"/>
          <w:color w:val="auto"/>
        </w:rPr>
        <w:t>We are subject to certain risks because of our international operations, particularly as we continue to grow our business and presence in Asia, Latin America, and other parts of the world. Changes to and compliance with a variety of foreign laws and regulations may increase our cost of doing business and our inability or failure to obtain required approvals could harm our international and domestic sales. In either the U.S. or other countries, trade legislation, such as a change in or volatility around the current tariff structures, import/export compliance laws, a change in the relationship between either us or the U.S. and any country in which we have significant operations or sales, or other trade laws or policies, could adversely affect our ability to sell or to distribute in international markets. In particular, as of the date of this Annual Report on Form 10-K, discussions remain ongoing in respect of certain trade restrictions and tariffs on imports from Canada, China, and Mexico, as well as retaliatory tariffs enacted in response to such actions. In light of these events,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potential partners, suppliers or other third parties we seek to do business with and, in turn, have a material adverse effect on the business and financial condition of such third parties, which in turn would negatively impact us.</w:t>
      </w:r>
    </w:p>
    <w:p>
      <w:pPr>
        <w:spacing w:after="0" w:line="11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Additionally, cultural differences may affect consumer preferences and as a result, some of our hit products may not sell as well as they do in the U.S. Cultural differences may also require us to modify the content of our products or the method by which we charge our customers. If we do not correctly assess consumer preferences in the countries in which we sell our products, or respond to other risks related to our international operations, it could negatively affect our business.</w:t>
      </w:r>
    </w:p>
    <w:p>
      <w:pPr>
        <w:spacing w:after="0" w:line="107" w:lineRule="exact"/>
        <w:rPr>
          <w:sz w:val="20"/>
          <w:szCs w:val="20"/>
          <w:color w:val="auto"/>
        </w:rPr>
      </w:pPr>
    </w:p>
    <w:p>
      <w:pPr>
        <w:jc w:val="both"/>
        <w:ind w:firstLine="214"/>
        <w:spacing w:after="0" w:line="270" w:lineRule="auto"/>
        <w:rPr>
          <w:sz w:val="20"/>
          <w:szCs w:val="20"/>
          <w:color w:val="auto"/>
        </w:rPr>
      </w:pPr>
      <w:r>
        <w:rPr>
          <w:rFonts w:ascii="Times New Roman" w:cs="Times New Roman" w:eastAsia="Times New Roman" w:hAnsi="Times New Roman"/>
          <w:sz w:val="17"/>
          <w:szCs w:val="17"/>
          <w:color w:val="auto"/>
        </w:rPr>
        <w:t>Our business may also be affected directly or indirectly by major world events, such as the Russia-Ukraine war and the Israel-Hamas war. Such events could decrease the demand for our products and services, make it difficult or impossible for us to deliver products and services to certain of our customers, or result in restrictions in trade, all of which could negatively affect our business.</w:t>
      </w:r>
    </w:p>
    <w:p>
      <w:pPr>
        <w:spacing w:after="0" w:line="8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Further, the enforcement of regulations relating to mobile and other games with an online element in China remains uncertain, and further changes, either in the regulation or their enforcement could have a negative impact on our business in China. In order to operate in China, all games must have regulatory approval. A decision by the Chinese government to revoke its approval for any of our games or to decline to approve any products we desire to sell in China in the future could have a negative impact on our business. China has also enacted a new privacy law that may affect how we structure our business and process of personal information.</w:t>
      </w:r>
    </w:p>
    <w:p>
      <w:pPr>
        <w:spacing w:after="0" w:line="110" w:lineRule="exact"/>
        <w:rPr>
          <w:sz w:val="20"/>
          <w:szCs w:val="20"/>
          <w:color w:val="auto"/>
        </w:rPr>
      </w:pPr>
    </w:p>
    <w:p>
      <w:pPr>
        <w:jc w:val="both"/>
        <w:ind w:firstLine="215"/>
        <w:spacing w:after="0" w:line="260" w:lineRule="auto"/>
        <w:rPr>
          <w:sz w:val="20"/>
          <w:szCs w:val="20"/>
          <w:color w:val="auto"/>
        </w:rPr>
      </w:pPr>
      <w:r>
        <w:rPr>
          <w:rFonts w:ascii="Times New Roman" w:cs="Times New Roman" w:eastAsia="Times New Roman" w:hAnsi="Times New Roman"/>
          <w:sz w:val="17"/>
          <w:szCs w:val="17"/>
          <w:color w:val="auto"/>
        </w:rPr>
        <w:t>We are subject to a variety of laws and executive orders in the U.S. and abroad that affect our business, including state and federal laws regarding consumer protection, electronic marketing, protection of minors, data protection and privacy, competition, taxation, intellectual property, export, and national security, which are continuously evolving and developing. The scope and interpretation of the laws that are or may be applicable to us are often uncertain and may be conflicting, particularly laws outside the U.S. There is a risk that existing or future laws may be interpreted in a manner that is not consistent with our current practices and could have an adverse effect on our business. We incur legal compliance costs associated with our international operations and could become subject to legal penalties in foreign countries if we do not comply with local laws and regulations which may be substantially different from those in the U.S.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many foreign countries, particularly in those with developing economies, it may be common to engage in business practices that are prohibited by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international laws and regulations, such as the Foreign Corrupt Practices Act, the U.K.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7"/>
          <w:szCs w:val="17"/>
          <w:color w:val="auto"/>
        </w:rPr>
        <w:t>Bribery Act, and by local laws, such as laws prohibiting corrupt payments to government officials.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in order to influence official action, direct business to any person, gain any improper advantage, or obtain or retain business. We can be held liable for the corrupt or other illegal activities of our employees, agents, representatives, business partners or third-party intermediaries, even if we do not authorize or have knowledge of such activities. Although we implement policies and procedures designed to ensure compliance with these laws, there can be no assurance that all our employees, contractors and agents, as well as those companies to which we outsource certain of our business operations, including those based in countries where practices which violate such laws may be customary, will not take actions in violation of our policies. Any such violation, even if prohibited by our policies, could have a material adverse effect on our business.</w:t>
      </w:r>
    </w:p>
    <w:p>
      <w:pPr>
        <w:spacing w:after="0" w:line="1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potentially subject to a number of foreign and domestic laws and regulations that affect the offering of certain types of content, such as that which depicts violence or is generated by our users, many of which are ambiguous, still evolving and could be interpreted in ways that could harm our business or expose us to liability, or result in us incurring increased compliance costs.</w:t>
      </w:r>
    </w:p>
    <w:p>
      <w:pPr>
        <w:spacing w:after="0" w:line="101" w:lineRule="exact"/>
        <w:rPr>
          <w:sz w:val="20"/>
          <w:szCs w:val="20"/>
          <w:color w:val="auto"/>
        </w:rPr>
      </w:pPr>
    </w:p>
    <w:p>
      <w:pPr>
        <w:jc w:val="both"/>
        <w:ind w:firstLine="218"/>
        <w:spacing w:after="0" w:line="258" w:lineRule="auto"/>
        <w:rPr>
          <w:sz w:val="20"/>
          <w:szCs w:val="20"/>
          <w:color w:val="auto"/>
        </w:rPr>
      </w:pPr>
      <w:r>
        <w:rPr>
          <w:rFonts w:ascii="Times New Roman" w:cs="Times New Roman" w:eastAsia="Times New Roman" w:hAnsi="Times New Roman"/>
          <w:sz w:val="17"/>
          <w:szCs w:val="17"/>
          <w:color w:val="auto"/>
        </w:rPr>
        <w:t>In 2020, the U.K. left the E.U. ("Brexit"). Subsequently, the U.K. and the E.U. struck a bilateral trade and cooperation deal governing the future relationship between the U.K. and the E.U. (the "Trade and Cooperation Agreement"), which took effect on May 1, 2021. The effects of the U.K.'s future trade agreements with the E.U. or other nations could potentially disrupt the markets we serve and may cause us to lose customers, distributors, and employees. The Trade and Cooperation Agreement sets out preferential arrangements in areas such as the trade in goods and services but does not reach the level of integration that existed while the U.K. was an E.U. member state, which could have a detrimental impact on our U.K. growth. Such a decline could also make our doing business in Europe more difficult, which could negatively affect sales to consumers of our products. Without access to a single market that includes the U.K. and countries of the E.U., it may be more challenging and costly to distribute our products to those regions.</w:t>
      </w:r>
    </w:p>
    <w:p>
      <w:pPr>
        <w:spacing w:after="0" w:line="10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laws of some countries either do not protect our products, brands, and intellectual property to the same extent as the laws of the U.S. or are inconsistently enforced. Legal protection of our rights may be ineffective in countries with weaker intellectual property enforcement mechanisms. Competitors may use our technologies without authorization, in jurisdictions where we have not obtained protection, to develop their own games and, further, may export otherwise violating games to territories where we have protection but enforcement is not as strong as that in the U.S. These games may compete with our games, and our intellectual property rights may not be effective or sufficient to prevent such competition. In addition, certain third parties have registered our intellectual property rights without authorization in foreign countries. Successfully registering such intellectual property rights could limit or restrict our ability to offer products and services based on such rights in those countries. Although we take steps to enforce and police our rights, our practices and methodologies may not be effective against all eventualities.</w:t>
      </w:r>
    </w:p>
    <w:p>
      <w:pPr>
        <w:spacing w:after="0" w:line="1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 Connectivity issues could affect our profitability and our ability to sell and provide online services for our products.</w:t>
      </w:r>
    </w:p>
    <w:p>
      <w:pPr>
        <w:spacing w:after="0" w:line="100" w:lineRule="exact"/>
        <w:rPr>
          <w:sz w:val="20"/>
          <w:szCs w:val="20"/>
          <w:color w:val="auto"/>
        </w:rPr>
      </w:pPr>
    </w:p>
    <w:p>
      <w:pPr>
        <w:jc w:val="both"/>
        <w:ind w:firstLine="169"/>
        <w:spacing w:after="0" w:line="261" w:lineRule="auto"/>
        <w:rPr>
          <w:sz w:val="20"/>
          <w:szCs w:val="20"/>
          <w:color w:val="auto"/>
        </w:rPr>
      </w:pPr>
      <w:r>
        <w:rPr>
          <w:rFonts w:ascii="Times New Roman" w:cs="Times New Roman" w:eastAsia="Times New Roman" w:hAnsi="Times New Roman"/>
          <w:sz w:val="17"/>
          <w:szCs w:val="17"/>
          <w:color w:val="auto"/>
        </w:rPr>
        <w:t>We rely upon third-party digital delivery platforms, such as Microsoft's Xbox Live, PlayStation Network, Steam, Epic, and other third-party service providers, to provide connectivity from the consumer to our digital products and our online services. Connectivity issues could prevent customers from accessing this content and our ability to successfully market and sell our products could be adversely affected. Given the increasing global usage of online platforms, the risks of connectivity issues may be heightened. In addition, we could experience similar issues related to services we host on our internal servers. Such issues also could affect our ability to provide game-related services and could have a material adverse effect on our business, financial condition, and operating results.</w:t>
      </w:r>
    </w:p>
    <w:p>
      <w:pPr>
        <w:spacing w:after="0" w:line="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Events such as limited hardware failure, any broad-based catastrophic server malfunction, extended power outages or failure for any reason of telecommunications or other critical infrastructure,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w:t>
      </w:r>
    </w:p>
    <w:p>
      <w:pPr>
        <w:spacing w:after="0" w:line="107" w:lineRule="exact"/>
        <w:rPr>
          <w:sz w:val="20"/>
          <w:szCs w:val="20"/>
          <w:color w:val="auto"/>
        </w:rPr>
      </w:pPr>
    </w:p>
    <w:p>
      <w:pPr>
        <w:jc w:val="both"/>
        <w:ind w:firstLine="248"/>
        <w:spacing w:after="0" w:line="264" w:lineRule="auto"/>
        <w:rPr>
          <w:sz w:val="20"/>
          <w:szCs w:val="20"/>
          <w:color w:val="auto"/>
        </w:rPr>
      </w:pPr>
      <w:r>
        <w:rPr>
          <w:rFonts w:ascii="Times New Roman" w:cs="Times New Roman" w:eastAsia="Times New Roman" w:hAnsi="Times New Roman"/>
          <w:sz w:val="17"/>
          <w:szCs w:val="17"/>
          <w:color w:val="auto"/>
        </w:rPr>
        <w:t>We expect a significant portion of our games to be online enabled in the future, and therefore we must project our future server needs and make advance purchases of servers or server capacity to accommodate expected business demands. If we underestimate the amount of server capacity our business requires, if our business were to grow more quickly than expected, or if Internet bandwidth becomes limited, our consumers may experience service problems, such as slow or interrupted gaming access. Insufficient server capacity may result in decreased sales, a loss of our consumer base and adverse consequences to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reputation. Conversely, if we overestimate the amount of server capacity required by our business, we may incur additional operating costs.</w:t>
      </w:r>
    </w:p>
    <w:p>
      <w:pPr>
        <w:spacing w:after="0" w:line="153" w:lineRule="exact"/>
        <w:rPr>
          <w:sz w:val="20"/>
          <w:szCs w:val="20"/>
          <w:color w:val="auto"/>
        </w:rPr>
      </w:pPr>
    </w:p>
    <w:p>
      <w:pPr>
        <w:jc w:val="both"/>
        <w:ind w:firstLine="265"/>
        <w:spacing w:after="0" w:line="270" w:lineRule="auto"/>
        <w:rPr>
          <w:sz w:val="20"/>
          <w:szCs w:val="20"/>
          <w:color w:val="auto"/>
        </w:rPr>
      </w:pPr>
      <w:r>
        <w:rPr>
          <w:rFonts w:ascii="Times New Roman" w:cs="Times New Roman" w:eastAsia="Times New Roman" w:hAnsi="Times New Roman"/>
          <w:sz w:val="17"/>
          <w:szCs w:val="17"/>
          <w:color w:val="auto"/>
        </w:rPr>
        <w:t>Because of the importance of our online business to our revenues and results of operations, our ability to access adequate Internet bandwidth and online computational resources to support our business is critical. If the price of such resources increases, we may not be able to increase our prices or subscriber levels to compensate for such costs, which could materially adversely affect our business, financial condition, and operating results.</w:t>
      </w:r>
    </w:p>
    <w:p>
      <w:pPr>
        <w:spacing w:after="0" w:line="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use open-source software in connection with certain of our games and services, which may pose particular risks to our proprietary software, products, and services in a manner that could have a negative impact on our business.</w:t>
      </w:r>
    </w:p>
    <w:p>
      <w:pPr>
        <w:spacing w:after="0" w:line="69" w:lineRule="exact"/>
        <w:rPr>
          <w:sz w:val="20"/>
          <w:szCs w:val="20"/>
          <w:color w:val="auto"/>
        </w:rPr>
      </w:pPr>
    </w:p>
    <w:p>
      <w:pPr>
        <w:jc w:val="both"/>
        <w:ind w:firstLine="218"/>
        <w:spacing w:after="0" w:line="255" w:lineRule="auto"/>
        <w:rPr>
          <w:sz w:val="20"/>
          <w:szCs w:val="20"/>
          <w:color w:val="auto"/>
        </w:rPr>
      </w:pPr>
      <w:r>
        <w:rPr>
          <w:rFonts w:ascii="Times New Roman" w:cs="Times New Roman" w:eastAsia="Times New Roman" w:hAnsi="Times New Roman"/>
          <w:sz w:val="17"/>
          <w:szCs w:val="17"/>
          <w:color w:val="auto"/>
        </w:rPr>
        <w:t>We use open-source software in connection with certain of our games and the services we offer. The original developers of the open source code provide no warranties on such code and open-source software may have unknown bugs, malfunctions and other security vulnerabilities, which could impact the performance and information security of our technology. Some open-source software licenses require users who distribute open-source software as part of their software to publicly disclose all or part of the source code to such software or make available any derivative works of the open-source code on unfavorable terms or at no cost. From time to time, we may face claims from the copyright holders of open-source software alleging copyright infringement and breach of contract for failure to meet the open source license terms, such as the failure to publicly disclose our proprietary code that is a derivative work of the open-source software. Additionally, the copyright holders of open-source software could demand release of the source code of any of our proprietary code that is a derivative work of the open-source software, or otherwise seek to enforce, have us specifically perform, or recover damages for the alleged infringement or breach of, the terms of the applicable open-source license. These claims could also result in litigation, require us to purchase costly licenses or require us to devote additional research and development resources to change our games. The terms of various open-source licenses have not been interpreted by courts, and there is a risk that such licenses could be construed in a manner that imposes unanticipated conditions or restrictions on our use of the open-source software. If it were determined that our use was not in compliance with a particular license, we may be required to release our proprietary source code, pay damages for breach of contract, re-engineer our games, discontinue distribution in the event re-engineering cannot be accomplished on a timely basis or take other remedial action that may divert resources away from our game development efforts, any of which could harm our business. Open-source compliance problems can also result in damage to reputation and challenges in recruitment or retention of engineering personnel. Additionally, the shared nature of open-source software may increase the ability of cyberattackers to discover and exploit vulnerabilities, which may increase the likelihood of a data breach, ransomware, network interruption, or other type of cyberattack against us or against third parties who may use open-source software, such as our platform partners or key vendors, any of which could negatively impact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software is susceptible to errors, which can harm our financial results and reputation.</w:t>
      </w:r>
    </w:p>
    <w:p>
      <w:pPr>
        <w:spacing w:after="0" w:line="159" w:lineRule="exact"/>
        <w:rPr>
          <w:sz w:val="20"/>
          <w:szCs w:val="20"/>
          <w:color w:val="auto"/>
        </w:rPr>
      </w:pPr>
    </w:p>
    <w:p>
      <w:pPr>
        <w:jc w:val="both"/>
        <w:ind w:firstLine="190"/>
        <w:spacing w:after="0" w:line="257" w:lineRule="auto"/>
        <w:rPr>
          <w:sz w:val="20"/>
          <w:szCs w:val="20"/>
          <w:color w:val="auto"/>
        </w:rPr>
      </w:pPr>
      <w:r>
        <w:rPr>
          <w:rFonts w:ascii="Times New Roman" w:cs="Times New Roman" w:eastAsia="Times New Roman" w:hAnsi="Times New Roman"/>
          <w:sz w:val="17"/>
          <w:szCs w:val="17"/>
          <w:color w:val="auto"/>
        </w:rPr>
        <w:t>The technological advancements of new hardware platforms result in the development of more complex software products. As software products become more complex, the risk of undetected errors in new products increases. We may need to produce and distribute patches in order to repair such errors, which could be costly and may distract our developers from working on new products. If, despite testing, errors are found in new products or releases after shipments have been made, we may have to consider suspending distribution of defective products or offering refunds, and we could experience a loss of or delay in timely market acceptance, product returns, loss of revenue, increases in costs relating to the repair of such errors and damage to our reputation.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spacing w:after="0" w:line="3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81" w:lineRule="exact"/>
        <w:rPr>
          <w:sz w:val="20"/>
          <w:szCs w:val="20"/>
          <w:color w:val="auto"/>
        </w:rPr>
      </w:pPr>
    </w:p>
    <w:p>
      <w:pPr>
        <w:jc w:val="both"/>
        <w:ind w:firstLine="190"/>
        <w:spacing w:after="0" w:line="258" w:lineRule="auto"/>
        <w:rPr>
          <w:sz w:val="20"/>
          <w:szCs w:val="20"/>
          <w:color w:val="auto"/>
        </w:rPr>
      </w:pPr>
      <w:r>
        <w:rPr>
          <w:rFonts w:ascii="Times New Roman" w:cs="Times New Roman" w:eastAsia="Times New Roman" w:hAnsi="Times New Roman"/>
          <w:sz w:val="17"/>
          <w:szCs w:val="17"/>
          <w:color w:val="auto"/>
        </w:rPr>
        <w:t>Certain of our products are based on or incorporate intellectual property owned by others. For example, certain of our 2K products include rights licensed from major sports leagues and players' associations. Similarly, some of our other titles are based on licenses of popular products and entertainment brands. Competition for these licenses is intense. If we are unable to maintain and renew these licenses or obtain additional licenses on reasonable economic terms or with significant commercial value, our revenue and profitability could decline significantly. Competition for these licenses may also increase the advances, guarantees and royalties that we must pay to the licensor, which could significantly increase our costs and adversely affect our profitability. In addition, on certain intellectual property licenses, we are subject to guaranteed minimum payments, royalties or standards of performance and may not be able to terminate these agreements prior to their stated expiration. If such licensed products do not generate revenues in excess of such minimum guarantees, our profitability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3" w:name="page24"/>
    <w:bookmarkEnd w:id="23"/>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Moreover,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declines or fluctuations in the recurring portion of our business.</w:t>
      </w:r>
    </w:p>
    <w:p>
      <w:pPr>
        <w:spacing w:after="0" w:line="15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business model includes revenue that we expect to be recurring in nature, such as revenue from our annualized titles and associated services, and ongoing mobile businesses. While we have been able to forecast the revenue from these areas of our business with greater certainty than for new offerings, we cannot provide assurances that consumers will purchase these games and services on a consistent basis. Furthermore, we may cease to offer games and services that we previously had deemed to be recurring in nature. Consumer purchases of our games and services may decline or fluctuate as a result of a number of factors, including their level of satisfaction with our games and services, our ability to improve and innovate our annualized titles, our ability to adapt our games and services to new platforms, outages and disruptions of online services, the games and services offered by our competitors, our marketing and advertising efforts or declines in consumer activity generally as a result of economic downturns, among others. Any decline or fluctuation in this portion of our business may have a negative impact on our financial and operating results.</w:t>
      </w:r>
    </w:p>
    <w:p>
      <w:pPr>
        <w:spacing w:after="0" w:line="9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and annual operating results are dependent on the release of hit titles and therefore dependent on the timing of our product releases, which may cause our quarterly operating results to fluctuate significantly.</w:t>
      </w:r>
    </w:p>
    <w:p>
      <w:pPr>
        <w:spacing w:after="0" w:line="81" w:lineRule="exact"/>
        <w:rPr>
          <w:sz w:val="20"/>
          <w:szCs w:val="20"/>
          <w:color w:val="auto"/>
        </w:rPr>
      </w:pPr>
    </w:p>
    <w:p>
      <w:pPr>
        <w:jc w:val="both"/>
        <w:ind w:firstLine="189"/>
        <w:spacing w:after="0" w:line="256" w:lineRule="auto"/>
        <w:rPr>
          <w:sz w:val="20"/>
          <w:szCs w:val="20"/>
          <w:color w:val="auto"/>
        </w:rPr>
      </w:pPr>
      <w:r>
        <w:rPr>
          <w:rFonts w:ascii="Times New Roman" w:cs="Times New Roman" w:eastAsia="Times New Roman" w:hAnsi="Times New Roman"/>
          <w:sz w:val="17"/>
          <w:szCs w:val="17"/>
          <w:color w:val="auto"/>
        </w:rPr>
        <w:t xml:space="preserve">We have experienced and may continue to experience wide fluctuations in quarterly operating results. The release of a hit title typically leads to a high level of sales during the first few months after introduction followed by a rapid decline in sales. In addition, the interactive entertainment industry is highly seasonal, with sales typically higher during the fourth calendar quarter, primarily due to increased demand for games during the holiday season. Demand for and sales of titles in our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series are also seasonal in that they are typically released just prior to the start of the NBA season. If a key event or sports season to which our product release schedule is tied were to be delayed or interrupted, our sales might also suffer disproportionately. Our failure or inability to produce hit titles or introduce products on a timely basis to meet seasonal fluctuations in demand could adversely affect our business, financial condition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 We also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as has happened in the past with other popular franchises, we may have to write off the unrecovered portion of the underlying intellectual property assets, which could negatively impact our business.</w:t>
      </w:r>
    </w:p>
    <w:p>
      <w:pPr>
        <w:spacing w:after="0" w:line="1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future success of our Grand Theft Auto products, and we must continue to publish hit titles or sequels to such hit titles in order to compete successfully in our industry.</w:t>
      </w:r>
    </w:p>
    <w:p>
      <w:pPr>
        <w:spacing w:after="0" w:line="65"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Grand Theft Auto </w:t>
      </w:r>
      <w:r>
        <w:rPr>
          <w:rFonts w:ascii="Times New Roman" w:cs="Times New Roman" w:eastAsia="Times New Roman" w:hAnsi="Times New Roman"/>
          <w:sz w:val="17"/>
          <w:szCs w:val="17"/>
          <w:color w:val="auto"/>
        </w:rPr>
        <w:t>and certain of our other titles, such as</w:t>
      </w:r>
      <w:r>
        <w:rPr>
          <w:rFonts w:ascii="Times New Roman" w:cs="Times New Roman" w:eastAsia="Times New Roman" w:hAnsi="Times New Roman"/>
          <w:sz w:val="17"/>
          <w:szCs w:val="17"/>
          <w:i w:val="1"/>
          <w:iCs w:val="1"/>
          <w:color w:val="auto"/>
        </w:rPr>
        <w:t xml:space="preserve"> Red Dead Redemption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NBA 2K</w:t>
      </w:r>
      <w:r>
        <w:rPr>
          <w:rFonts w:ascii="Times New Roman" w:cs="Times New Roman" w:eastAsia="Times New Roman" w:hAnsi="Times New Roman"/>
          <w:sz w:val="17"/>
          <w:szCs w:val="17"/>
          <w:color w:val="auto"/>
        </w:rPr>
        <w:t>, are hit products and have historically accounted for a substantial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portion of our revenue.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products contributed 12.6% of our net revenue for the fiscal year ended March 31, 2025, and the five best-selling franchises (including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which may change year over year, in the aggregate accounted for 53.1% of our net revenue for the fiscal year ended March 31, 2025.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7"/>
          <w:szCs w:val="17"/>
          <w:color w:val="auto"/>
        </w:rPr>
        <w:t>payment models perceived as offering better value, or if we do not continue to develop consistently high quality and well-received products and services, our revenue and profitability may decline. In addition, both the online and mobile games marketplaces are characterized by frequent product introductions, relatively low barriers to entry, and new and evolving business methods, technologies and platforms for development. Widespread consumer adoption of these new platforms for games and other technological advances in and/or new business or payment models in online or mobile game offerings could negatively affect our sales of console and traditional PC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Price protection granted to our customers and returns of our published titles by our customers may adversely affect our operating results.</w:t>
      </w:r>
    </w:p>
    <w:p>
      <w:pPr>
        <w:spacing w:after="0" w:line="159" w:lineRule="exact"/>
        <w:rPr>
          <w:sz w:val="20"/>
          <w:szCs w:val="20"/>
          <w:color w:val="auto"/>
        </w:rPr>
      </w:pPr>
    </w:p>
    <w:p>
      <w:pPr>
        <w:jc w:val="both"/>
        <w:ind w:firstLine="182"/>
        <w:spacing w:after="0" w:line="260" w:lineRule="auto"/>
        <w:rPr>
          <w:sz w:val="20"/>
          <w:szCs w:val="20"/>
          <w:color w:val="auto"/>
        </w:rPr>
      </w:pPr>
      <w:r>
        <w:rPr>
          <w:rFonts w:ascii="Times New Roman" w:cs="Times New Roman" w:eastAsia="Times New Roman" w:hAnsi="Times New Roman"/>
          <w:sz w:val="17"/>
          <w:szCs w:val="17"/>
          <w:color w:val="auto"/>
        </w:rPr>
        <w:t>We are exposed to the risk of price protection and product returns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for customers, which include credits and returns, when demand for specific products falls below expectations. We grant price protection and accept returns in connection with our publishing arrangements, and revenue is recognized after deducting estimated price protection and reserves for returns. While we believe that we can reliably estimate price protection and returns, if price protection and return rates for our products exceed our reserves, our revenue could decline, which could have a material adverse effect on our business, financial condition, and operating results.</w:t>
      </w:r>
    </w:p>
    <w:p>
      <w:pPr>
        <w:spacing w:after="0" w:line="9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limited number of customers account for a significant portion of our sales. The loss of a principal customer or other significant business relationship could seriously hurt our business.</w:t>
      </w:r>
    </w:p>
    <w:p>
      <w:pPr>
        <w:spacing w:after="0" w:line="81" w:lineRule="exact"/>
        <w:rPr>
          <w:sz w:val="20"/>
          <w:szCs w:val="20"/>
          <w:color w:val="auto"/>
        </w:rPr>
      </w:pPr>
    </w:p>
    <w:p>
      <w:pPr>
        <w:jc w:val="both"/>
        <w:ind w:firstLine="176"/>
        <w:spacing w:after="0" w:line="258" w:lineRule="auto"/>
        <w:rPr>
          <w:sz w:val="20"/>
          <w:szCs w:val="20"/>
          <w:color w:val="auto"/>
        </w:rPr>
      </w:pPr>
      <w:r>
        <w:rPr>
          <w:rFonts w:ascii="Times New Roman" w:cs="Times New Roman" w:eastAsia="Times New Roman" w:hAnsi="Times New Roman"/>
          <w:sz w:val="17"/>
          <w:szCs w:val="17"/>
          <w:color w:val="auto"/>
        </w:rPr>
        <w:t>A substantial portion of our product sales are made to a limited number of customers. Sales to our five largest customers during the fiscal year ended March 31, 2025 accounted for 81.0% of our net revenue, with Apple, Sony, Google, and Microsoft each accounting for more than 10.0%. Our sales are made primarily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rated "AO" (age 18 and over), could materially adversely affect our business, financial condition, and operating results. In addition, if our customers are subject to pricing pressures due to deteriorating demand for our products, competition, or otherwise, such customers may pass those pricing pressures through to us, which could materially adversely affect our business, financial condition and operating results.</w:t>
      </w:r>
    </w:p>
    <w:p>
      <w:pPr>
        <w:spacing w:after="0" w:line="115" w:lineRule="exact"/>
        <w:rPr>
          <w:sz w:val="20"/>
          <w:szCs w:val="20"/>
          <w:color w:val="auto"/>
        </w:rPr>
      </w:pPr>
    </w:p>
    <w:p>
      <w:pPr>
        <w:jc w:val="both"/>
        <w:ind w:firstLine="210"/>
        <w:spacing w:after="0" w:line="264" w:lineRule="auto"/>
        <w:rPr>
          <w:sz w:val="20"/>
          <w:szCs w:val="20"/>
          <w:color w:val="auto"/>
        </w:rPr>
      </w:pPr>
      <w:r>
        <w:rPr>
          <w:rFonts w:ascii="Times New Roman" w:cs="Times New Roman" w:eastAsia="Times New Roman" w:hAnsi="Times New Roman"/>
          <w:sz w:val="17"/>
          <w:szCs w:val="17"/>
          <w:color w:val="auto"/>
        </w:rPr>
        <w:t>In addition, because some of our customers are also publishers of games for their own hardware platforms and may manufacture products for other licensees, such customers may give priority to their own products or those of our competitors. Accordingly, console manufacturers like Sony or Microsoft could cause unanticipated delays in the release of our products, as well as increases to projected development, manufacturing, marketing, or distribution costs, any of which could negatively impact our business.</w:t>
      </w:r>
    </w:p>
    <w:p>
      <w:pPr>
        <w:spacing w:after="0" w:line="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Furthermore, our customers may also be placed into bankruptcy, become insolvent, or be liquidated due to economic downturns, global credit contractions, or other factors. Bankruptcies or consolidations of certain large retail customers could seriously hurt our business, including as a result of uncollectible accounts receivable from such customers and the concentration of purchasing power among large retailers. In addition, our results of operations may be adversely affected if certain of our customers who purchase on credit terms are no longer eligible to purchase on such terms due to their financial distress or lack of credit insurance, which may reduce the quantity of products they demand from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Content policies adopted by retailers, consumer opposition and litigation could negatively affect sales of our products.</w:t>
      </w:r>
    </w:p>
    <w:p>
      <w:pPr>
        <w:spacing w:after="0" w:line="159" w:lineRule="exact"/>
        <w:rPr>
          <w:sz w:val="20"/>
          <w:szCs w:val="20"/>
          <w:color w:val="auto"/>
        </w:rPr>
      </w:pPr>
    </w:p>
    <w:p>
      <w:pPr>
        <w:jc w:val="both"/>
        <w:ind w:firstLine="225"/>
        <w:spacing w:after="0" w:line="256" w:lineRule="auto"/>
        <w:rPr>
          <w:sz w:val="20"/>
          <w:szCs w:val="20"/>
          <w:color w:val="auto"/>
        </w:rPr>
      </w:pPr>
      <w:r>
        <w:rPr>
          <w:rFonts w:ascii="Times New Roman" w:cs="Times New Roman" w:eastAsia="Times New Roman" w:hAnsi="Times New Roman"/>
          <w:sz w:val="17"/>
          <w:szCs w:val="17"/>
          <w:color w:val="auto"/>
        </w:rPr>
        <w:t xml:space="preserve">Retailers, including digital storefronts and platform partners, may decline to sell interactive entertainment software containing what they judge to be graphic violence, sexually explicit material, or other content that they deem inappropriate. If retailers decline to sell our products based on their opinion that they contain objectionable themes, graphic violence, sexually explicit material, or other generally objectionable content, or if any of our previously "M" rated series products are rated "AO," we might be required to significantly change or discontinue particular titles or series, which in the case of our best-selling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titles could seriously affect our business. Consumer advocacy groups have opposed sales of interactive entertainment software containing objectionable themes, violence, sexual material, or other objectionable content by pressing for legislation in these areas and by engaging in public demonstrations and media campaigns. Additionally, although lawsuits seeking damages for injuries allegedly suffered by third parties as a result of video games have generally been unsuccessful in the courts, claims of this kind have been asserted against us from time to time and may be asserted and be successful in the future. An increase in the number of lawsuits filed by the families of victims of violence may trigger supplemental governmental scrutiny, damage our reputation, and negatively affect the sale of our products. Further, in 2019, the World Health Organization included "gaming disorder" in the 11th revision of the International Classification of Diseases, leading some to consider legislation and policies aimed at addressing this issue, and, more recently prompting lawsuits against many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5" w:name="page26"/>
    <w:bookmarkEnd w:id="25"/>
    <w:p>
      <w:pPr>
        <w:jc w:val="both"/>
        <w:spacing w:after="0" w:line="287" w:lineRule="auto"/>
        <w:rPr>
          <w:sz w:val="20"/>
          <w:szCs w:val="20"/>
          <w:color w:val="auto"/>
        </w:rPr>
      </w:pPr>
      <w:r>
        <w:rPr>
          <w:rFonts w:ascii="Times New Roman" w:cs="Times New Roman" w:eastAsia="Times New Roman" w:hAnsi="Times New Roman"/>
          <w:sz w:val="17"/>
          <w:szCs w:val="17"/>
          <w:color w:val="auto"/>
        </w:rPr>
        <w:t>the industry, including us. In addition, public dialogue concerning interactive entertainment may have an adverse impact on our reputation and our customers' willingness to purchase our products.</w:t>
      </w:r>
    </w:p>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submit our products for rating by the ESRB in the U.S.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81"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7"/>
          <w:szCs w:val="17"/>
          <w:color w:val="auto"/>
        </w:rPr>
        <w:t>We voluntarily submit our game products to the ESRB, a U.S.-based non-profit and independent ratings organization. The ESRB system provides consumers with information about game content using a rating symbol that generally suggests the appropriate player age group and specific content descriptors, such as graphic violence, profanity or sexually explicit material. The ESRB may impose significant penalties on game publishers for violations of its rules related to rating or marketing games, including revocation of a rating or monetary fines. Other countries require voluntary or government backed ratings as prerequisites for product sales. In some instances, we may have to modify our products in order to market them under the target rating, which could delay or disrupt the release of our products. In addition, some of our titles may not be sold at all or without extensive edits in certain countries.</w:t>
      </w:r>
    </w:p>
    <w:p>
      <w:pPr>
        <w:spacing w:after="0" w:line="96" w:lineRule="exact"/>
        <w:rPr>
          <w:sz w:val="20"/>
          <w:szCs w:val="20"/>
          <w:color w:val="auto"/>
        </w:rPr>
      </w:pPr>
    </w:p>
    <w:p>
      <w:pPr>
        <w:jc w:val="both"/>
        <w:ind w:firstLine="211"/>
        <w:spacing w:after="0" w:line="258" w:lineRule="auto"/>
        <w:rPr>
          <w:sz w:val="20"/>
          <w:szCs w:val="20"/>
          <w:color w:val="auto"/>
        </w:rPr>
      </w:pPr>
      <w:r>
        <w:rPr>
          <w:rFonts w:ascii="Times New Roman" w:cs="Times New Roman" w:eastAsia="Times New Roman" w:hAnsi="Times New Roman"/>
          <w:sz w:val="17"/>
          <w:szCs w:val="17"/>
          <w:color w:val="auto"/>
        </w:rPr>
        <w:t>In the U.S., if the ESRB rates a game as "AO" (age 18 and older), platform licensors may not certify the game and retailers may refuse to sell it. In addition, some consumers have reacted to re-ratings or controversial game content by refusing to purchase such games, demanding refunds for games that they had already purchased, and refraining from buying other games published by us. Many of our Rockstar titles and certain of our 2K titles have been rated "M" (age 17 and older) by the ESRB. If we are unable to obtain "M" ratings and instead receive "AO" ratings on future versions of those or similar titles as a result of changes in the ESRB's ratings standards or for other reasons, including the adoption of legislation in this area, our business and prospects could be negatively affected. If any of our games are re-rated by the ESRB or other foreign-based ratings organizations, we could be exposed to litigation, administrative fines and penalties and other potential liabilities, and our operating results and financial condition could be significantly affected.</w:t>
      </w:r>
    </w:p>
    <w:p>
      <w:pPr>
        <w:spacing w:after="0" w:line="115" w:lineRule="exact"/>
        <w:rPr>
          <w:sz w:val="20"/>
          <w:szCs w:val="20"/>
          <w:color w:val="auto"/>
        </w:rPr>
      </w:pPr>
    </w:p>
    <w:p>
      <w:pPr>
        <w:jc w:val="both"/>
        <w:ind w:firstLine="257"/>
        <w:spacing w:after="0" w:line="258" w:lineRule="auto"/>
        <w:rPr>
          <w:sz w:val="20"/>
          <w:szCs w:val="20"/>
          <w:color w:val="auto"/>
        </w:rPr>
      </w:pPr>
      <w:r>
        <w:rPr>
          <w:rFonts w:ascii="Times New Roman" w:cs="Times New Roman" w:eastAsia="Times New Roman" w:hAnsi="Times New Roman"/>
          <w:sz w:val="17"/>
          <w:szCs w:val="17"/>
          <w:color w:val="auto"/>
        </w:rPr>
        <w:t>We have implemented processes to comply with the requirements of the ESRB and other ratings organizations and properly display the designated rating symbols and content descriptions. Nonetheless, these processes are subject to human error, circumvention, overriding, and reasonable resource constraints. If a video game we publish were found to contain undisclosed pertinent content, the ESRB could re-rate that game and change the associated content descriptors originally assigned, require us to recall the game and/or change the game or game packaging, and/or impose a fine on us. In addition, retailers could refuse to sell the game and demand that we accept the return of any unsold copies or returns from customers, and consumers could refuse to buy such game, or demand that we refund their money and/or refrain from buying other games published by us. This could have a material negative effect on our operating results and financial condition. In addition, we may be exposed to litigation, administrative fines, and penalties, and our reputation could be harmed, which could affect sales of our other video games. If any of these were to occur, our business and financial performance could be significantly harmed.</w:t>
      </w:r>
    </w:p>
    <w:p>
      <w:pPr>
        <w:spacing w:after="0" w:line="111" w:lineRule="exact"/>
        <w:rPr>
          <w:sz w:val="20"/>
          <w:szCs w:val="20"/>
          <w:color w:val="auto"/>
        </w:rPr>
      </w:pPr>
    </w:p>
    <w:p>
      <w:pPr>
        <w:jc w:val="both"/>
        <w:ind w:firstLine="619"/>
        <w:spacing w:after="0" w:line="209" w:lineRule="exact"/>
        <w:rPr>
          <w:sz w:val="20"/>
          <w:szCs w:val="20"/>
          <w:color w:val="auto"/>
        </w:rPr>
      </w:pPr>
      <w:r>
        <w:rPr>
          <w:rFonts w:ascii="Times New Roman" w:cs="Times New Roman" w:eastAsia="Times New Roman" w:hAnsi="Times New Roman"/>
          <w:sz w:val="17"/>
          <w:szCs w:val="17"/>
          <w:color w:val="auto"/>
        </w:rPr>
        <w:t>Certain other countries have also established content rating systems as prerequisites for product sales in those countries. In addition, certain stores use other ratings systems, such as Apple’s use of its proprietary “App Rating System” and Google Play’s use of the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1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3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the intellectual property relating to our software, the commercial value of our products will be adversely affected, and our competitive position could be harmed.</w:t>
      </w:r>
    </w:p>
    <w:p>
      <w:pPr>
        <w:spacing w:after="0" w:line="81" w:lineRule="exact"/>
        <w:rPr>
          <w:sz w:val="20"/>
          <w:szCs w:val="20"/>
          <w:color w:val="auto"/>
        </w:rPr>
      </w:pPr>
    </w:p>
    <w:p>
      <w:pPr>
        <w:jc w:val="both"/>
        <w:ind w:firstLine="195"/>
        <w:spacing w:after="0" w:line="264" w:lineRule="auto"/>
        <w:rPr>
          <w:sz w:val="20"/>
          <w:szCs w:val="20"/>
          <w:color w:val="auto"/>
        </w:rPr>
      </w:pPr>
      <w:r>
        <w:rPr>
          <w:rFonts w:ascii="Times New Roman" w:cs="Times New Roman" w:eastAsia="Times New Roman" w:hAnsi="Times New Roman"/>
          <w:sz w:val="17"/>
          <w:szCs w:val="17"/>
          <w:color w:val="auto"/>
        </w:rPr>
        <w:t>We develop proprietary software and have obtained the rights to publish and distribute software developed by third parties. We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or misappropriate our intellectual property and proprietary information, causing significant reputational damage. Unauthorized third parties, for example, may be able to copy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7"/>
          <w:szCs w:val="17"/>
          <w:color w:val="auto"/>
        </w:rPr>
        <w:t>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w:t>
      </w:r>
    </w:p>
    <w:p>
      <w:pPr>
        <w:spacing w:after="0" w:line="1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"cheating" programs or other unauthorized software tools and modifications that enable consumers to cheat in games harm the experience of players who play fairly and could negatively impact the volume of microtransactions or purchases of downloadable content which may disrupt the virtual economies of our games and reduce the demand for virtual items, disrupting our in-game economy. In addition, unrelated third parties have attempted to scam our players with fake offers for virtual items or other game benefits. We devote significant resources to discovering, discouraging, and disabling these cheating and scam programs and activities, including by "taking down" offending content and by initiating litigation where appropriate. Despite our efforts, if we are unable to do so quickly, our operations may be disrupted, our reputation may be damaged, players may stop playing our games and our ability to reliably validate our audience metrics may be negatively affected. These cheating programs and scam offers result in lost revenue from paying players, disrupt our in-game economies, divert time from our personnel, increase costs of developing technological measures to combat these programs and activities, increase our customer service costs needed to respond to dissatisfied players, and may lead to legal claims.</w:t>
      </w:r>
    </w:p>
    <w:p>
      <w:pPr>
        <w:spacing w:after="0" w:line="114"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Also, vulnerabilities in the design of our applications and of the platforms upon which they run could be discovered after their release. This may lead to lost revenues from paying consumers or increased cost of developing technological measures to respond to these, either of which could negatively affect our business.</w:t>
      </w:r>
    </w:p>
    <w:p>
      <w:pPr>
        <w:spacing w:after="0" w:line="2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value of our virtual items is highly dependent on how we manage the economies in our games. If we fail to manage our game economies properly, our business may suffer.</w:t>
      </w:r>
    </w:p>
    <w:p>
      <w:pPr>
        <w:spacing w:after="0" w:line="8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Paying players make purchases in our games because of the perceived value of these virtual items, which is dependent on the relative ease of obtaining an equivalent good by playing our game. The perceived value of these virtual items can be impacted by various actions that we take in the games including offering discounts for virtual items, giving away virtual items in promotions or providing easier non-paid means to secure these goods. Managing game economies is difficult and relies on our assumptions and judgement. If we fail to manage our virtual economies properly or fail to promptly and successfully respond to any such disruption, our reputation may suffer and our players may be less likely to play our games and to purchase virtual items from us in the future, which would cause our business, financial condition and results of operations to suffer.</w:t>
      </w:r>
    </w:p>
    <w:p>
      <w:pPr>
        <w:spacing w:after="0" w:line="10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of our players may make sales or purchases of virtual items used in our games through unauthorized or fraudulent third-party websites, which may reduce our revenue.</w:t>
      </w:r>
    </w:p>
    <w:p>
      <w:pPr>
        <w:spacing w:after="0" w:line="6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Game accounts and virtual items in our games have no monetary value outside of our games. Nonetheless, some of our players may make sales and/or purchases of game accounts or virtual items, such as virtual currency, through unauthorized third-party sellers in exchange for real currency. These unauthorized or fraudulent transactions are usually arranged on third-party websites and the virtual items offered may have been obtained through unauthorized means such as exploiting vulnerabilities in our games, from scamming our players with fake offers for virtual items or other game benefits, or from credit card fraud. We do not in any way facilitate these transactions and do not generate any revenue from them. These unauthorized purchases and sales from third-party sellers have in the past and could in the future impede our revenue and profit growth by, among other things:</w:t>
      </w:r>
    </w:p>
    <w:p>
      <w:pPr>
        <w:spacing w:after="0" w:line="109"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decreasing revenue from authorized transactions;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downward pressure on the prices we charge players for our virtual items;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chargebacks from unauthorized credit card transactions;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us to lose revenue from dissatisfied players who stop playing a particular game;</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us to lose revenue from players who we take disciplinary action against, including banning certain players who may have previously made purchases within our games;</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costs we incur to develop technological measures to detect, prevent, and curtail unauthorized transactions;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costs we incur in pursuing enforcement action against the individuals and websites responsible for facilitating such unauthorized transactions;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risk of certain monetization practices in our games being erroneously deemed a form of gambling in certain jurisdictions by virtue of the existence of such authorized marketplaces;</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resulting in negative publicity or harm our reputation with players and partners;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customer support costs to respond to dissatisfied players.</w:t>
      </w:r>
    </w:p>
    <w:p>
      <w:pPr>
        <w:spacing w:after="0" w:line="136" w:lineRule="exact"/>
        <w:rPr>
          <w:sz w:val="20"/>
          <w:szCs w:val="20"/>
          <w:color w:val="auto"/>
        </w:rPr>
      </w:pPr>
    </w:p>
    <w:p>
      <w:pPr>
        <w:jc w:val="both"/>
        <w:ind w:firstLine="478"/>
        <w:spacing w:after="0" w:line="270" w:lineRule="auto"/>
        <w:rPr>
          <w:sz w:val="20"/>
          <w:szCs w:val="20"/>
          <w:color w:val="auto"/>
        </w:rPr>
      </w:pPr>
      <w:r>
        <w:rPr>
          <w:rFonts w:ascii="Times New Roman" w:cs="Times New Roman" w:eastAsia="Times New Roman" w:hAnsi="Times New Roman"/>
          <w:sz w:val="17"/>
          <w:szCs w:val="17"/>
          <w:color w:val="auto"/>
        </w:rPr>
        <w:t>To discourage unauthorized purchases and sales of game accounts and virtual items, we state in our terms of service that the buying or selling of game accounts and virtual items from unauthorized third-party sellers may result in bans from our games or legal action. We periodically encounter such issues and expect to continue to do so. We have banned players as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7"/>
          <w:szCs w:val="17"/>
          <w:color w:val="auto"/>
        </w:rPr>
        <w:t>result of such activities. We have also issued DMCA notices and filed lawsuits against third parties attempting to “sell” game accounts and virtual items from our games outside of our games. We have also employed technological measures to help detect unauthorized transactions and continue to develop additional methods and processes by which we can identify unauthorized transactions and block such transactions. However, there can be no assurance that our efforts to detect, prevent or minimize these unauthorized or fraudulent transactions will be successful and that these actions will not increase over time.</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a significant amount of outstanding indebtedness, and may incur other indebtedness in the future, all of which may adversely affect our financial condition and future financial results.</w:t>
      </w:r>
    </w:p>
    <w:p>
      <w:pPr>
        <w:spacing w:after="0" w:line="8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As of March 31, 2025, we had $3,650.0 aggregate principal amount of outstanding senior notes ("Senior Notes") and a $750.0 revolving credit facility under that certain Credit Agreement, dated as of May 23, 2022 (as amended, the "2022 Credit Agreement") with no outstanding borrowings. (Refer to </w:t>
      </w:r>
      <w:r>
        <w:rPr>
          <w:rFonts w:ascii="Times New Roman" w:cs="Times New Roman" w:eastAsia="Times New Roman" w:hAnsi="Times New Roman"/>
          <w:sz w:val="17"/>
          <w:szCs w:val="17"/>
          <w:u w:val="single" w:color="auto"/>
          <w:color w:val="0000FF"/>
        </w:rPr>
        <w:t>Note 11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our Consolidated Financial Statements, herein.)</w:t>
      </w:r>
    </w:p>
    <w:p>
      <w:pPr>
        <w:spacing w:after="0" w:line="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our outstanding Senior Notes mature, we will have to expend significant resources to either repay or refinance such notes. If we decide to refinance our Senior Notes, we may be required to do so on different or less favorable terms or we may be unable to refinance such notes at all, either of which may adversely affect our financial condition.</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current or future levels of indebtedness may adversely affect our financial condition and future financial results by, among other things:</w:t>
      </w:r>
    </w:p>
    <w:p>
      <w:pPr>
        <w:spacing w:after="0" w:line="153"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changes in general economic, industry and competitive conditions;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dedication of a greater than expected portion of our expected cash from operations to service our indebtedness, thereby reducing the amount of expected cash flow available for general corporate purposes, including capital expenditures and acquisitions; and</w:t>
      </w: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or reacting to, changes in our business and our industry.</w:t>
      </w:r>
    </w:p>
    <w:p>
      <w:pPr>
        <w:spacing w:after="0" w:line="1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required to comply with the covenants set forth in the indentures governing our outstanding indebtedness, including our Senior Notes, Convertible Notes, and 2022 Credit Agreement. Our ability to comply with these covenants may be affected by events beyond our control. If we breach any of the covenants and do not obtain a waiver from the holders of our indebtedness or the lenders under the 2022 Credit Agreement, then, subject to applicable cure periods, any outstanding indebtedness may be declared immediately due and payable. Further, these covenants may limit our ability to take various actions, including incurring additional debt, paying dividends, repurchasing shares, and acquiring or disposing of assets or businesses. Accordingly, we may be restricted from taking actions that we believe would be desirable and in the best interest of us and our stockholders. In addition, changes by any rating agency to our credit rating may negatively impact the value and liquidity of our securities. Downgrades in our credit ratings could also restrict our ability to obtain additional financing in the future and could affect the terms of any such financing.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or regulatory compliance</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Companies and governmental agencies may restrict access to platforms, our website, mobile applications or the Internet generally, which could have a negative impact on our business.</w:t>
      </w:r>
    </w:p>
    <w:p>
      <w:pPr>
        <w:spacing w:after="0" w:line="69" w:lineRule="exact"/>
        <w:rPr>
          <w:sz w:val="20"/>
          <w:szCs w:val="20"/>
          <w:color w:val="auto"/>
        </w:rPr>
      </w:pPr>
    </w:p>
    <w:p>
      <w:pPr>
        <w:jc w:val="both"/>
        <w:ind w:firstLine="200"/>
        <w:spacing w:after="0" w:line="257" w:lineRule="auto"/>
        <w:rPr>
          <w:sz w:val="20"/>
          <w:szCs w:val="20"/>
          <w:color w:val="auto"/>
        </w:rPr>
      </w:pPr>
      <w:r>
        <w:rPr>
          <w:rFonts w:ascii="Times New Roman" w:cs="Times New Roman" w:eastAsia="Times New Roman" w:hAnsi="Times New Roman"/>
          <w:sz w:val="17"/>
          <w:szCs w:val="17"/>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for example as a result of the COVID-19 pandemic, could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In 2024, the Federal Communications Commission's efforts to reinstate net neutrality regulations in the U.S. were blocked by the Sixth Circuit Court of Appeals. Notwithstanding that decision, several states have enacted net neutrality regulations. Given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1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our players generally need to access the Internet and in particular platforms such as the Apple App Store, the Google Play Store, Facebook, Snapchat or our website to play our mobile games. Companies and governmental agencies could block access to, impose restrictions on or require a license for any platform, our website or mobile applications for a number of reasons such as security or confidentiality concerns or regulatory reasons which may include, among other things, governmental restrictions on certain content in a particular country, requirements to establish a local presence in a particular jurisdiction, and a requirement that player information be stored on servers in a country within which we operate. Companies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7"/>
          <w:szCs w:val="17"/>
          <w:color w:val="auto"/>
        </w:rPr>
        <w:t>may also adopt policies that prohibit employees from accessing Apple, Google, Facebook and our website or any social platform. If companies or governmental entities block or limit such or otherwise adopt policies restricting players from playing our games, our business could be negatively impacted and could lead to the loss or slower growth of our player base.</w:t>
      </w:r>
    </w:p>
    <w:p>
      <w:pPr>
        <w:spacing w:after="0" w:line="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products are subject to a variety of existing U.S. and foreign laws and regulations, many of which are unsettled and still developing, as well as potential new legislation, all of which could subject us to claims or otherwise harm our business.</w:t>
      </w:r>
    </w:p>
    <w:p>
      <w:pPr>
        <w:spacing w:after="0" w:line="8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a global company, we are subject to a variety of regulations and laws in the U.S. and abroad, including regarding consumer protection (including the use of prepaid cards, online safety, and the protection of minors), subscriptions, advertising, electronic marketing, privacy (including verified parental consent and age assurance), biometrics, cybersecurity, data protection and data localization requirements, AI, online services, online gaming, anti-competition, freedom of speech, labor, real estate, taxation, social media and content moderation, escheatment, intellectual property ownership and infringement, tax, export and national security, tariffs, anti-corruption and telecommunications, all of which are continuously evolving and developing. The scope and interpretation of the laws that are or may be applicable to us, which in some cases can be enforced by private parties in addition to government entities and regulatory bodies, are often uncertain and may be conflicting, particularly laws outside the U.S., and compliance with laws, regulations, codes of practice, and similar requirements may be burdensome and expensive. Laws and regulations may be inconsistent, or even contradictory, from jurisdiction to jurisdiction, which may increase the cost of compliance and doing business and expose us to possible litigation, penalties or fines, which in certain circumstances can be linked to a percentage of our global turnover. Any changes which we may introduce to our games in order to comply with these laws, regulations, codes of practice, and similar requirements, could make our games less attractive to our players, or cause us to change or limit our ability to sell our products in certain jurisdictions. We have policies and procedures designed to ensure compliance with applicable laws and regulations, but we cannot assure that we will not be deemed to have violated any such laws and regulations.</w:t>
      </w:r>
    </w:p>
    <w:p>
      <w:pPr>
        <w:spacing w:after="0" w:line="102"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7"/>
          <w:szCs w:val="17"/>
          <w:color w:val="auto"/>
        </w:rPr>
        <w:t>Several proposals have been made for federal legislation to regulate our industry. Such proposals seek to prohibit the sale of products containing certain content and functionality included in some of our games. If any such proposals are enacted into law, it may limit the potential market for some of our games in the U.S., and adversely affect our business, financial condition and operating results. Other countries have adopted laws regulating content both in packaged games and those transmitted over the Internet that are stricter than current U.S. laws. In the U.S., proposals have also been made by numerous state legislators to regulate and prohibit the sale of interactive entertainment software products containing certain types of violent or sexual content to audiences under the ages of 17 or 18, such as the State of California's "ultraviolent video games law" that sought to ban the sale or rental of violent video games to minors. While such legislation to date has been enjoined by legal action of industry and retail groups or been found unconstitutional, the adoption into law of such legislation in federal and/or in state jurisdictions in which we do significant business could severely limit the retail market for some of our games.</w:t>
      </w:r>
    </w:p>
    <w:p>
      <w:pPr>
        <w:spacing w:after="0" w:line="111"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7"/>
          <w:szCs w:val="17"/>
          <w:color w:val="auto"/>
        </w:rPr>
        <w:t>In addition, there are ongoing academic, political and regulatory discussions in the U.S., Europe, Middle East, Asia, Australia, Brazil and other jurisdictions regarding whether certain game genres, such as social casino, or certain game mechanics, such as “loot boxes,” or in-game "virtual currencies," should be subject to a higher level or different type of regulation than other game genres or mechanics to protect consumers, in particular minors and vulnerable adults, and, if so, what such regulation should include. If new regulations are imposed, or other regulations are interpreted to apply to our games or certain game mechanics, such rules and regulations may expose us to civil and criminal penalties if we do not comply. For example, the FTC recently announced a major enforcement action against a game developer for various consumer protection and privacy violations related to a game that was deemed by the FTC to have been directed at children under the Children's Online Privacy Protection Act. Central to the FTC's complaint was the game's implementation of a virtual currency and loot box system that was deemed too confusing for vulnerable consumers such as children and teens. The complaint was settled with the developer having to, among other things, agree to a ten-year compliance monitoring program and pay a fine of $20 million.</w:t>
      </w:r>
    </w:p>
    <w:p>
      <w:pPr>
        <w:spacing w:after="0" w:line="11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Additionally, in the U.K., the government is expected to conclude its review of the implementation of the industry guidance on loot boxes which was published by the U.K. Interactive Entertainment Association. It is possible that the government's review may recommend further regulation to address the concerns raised during the 2020 call for evidence into loot boxes in video games. In addition, in Australia, the Guidelines for the Classification of Computer Games 2023, which went into effect in September 2024 limit games containing "simulated gambling" features to adults aged 18 and over, and require games which do not contain simulated gambling, but which contain loot boxes, to be rated M (Mature), meaning they would only be recommended as being suitable for players aged 15 and over.</w:t>
      </w:r>
    </w:p>
    <w:p>
      <w:pPr>
        <w:spacing w:after="0" w:line="9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Furthermore, in June 2023, the Dutch Minister of Economic Affairs sent a letter to Parliament, outlining her Consumer Agenda, which included a ban on loot boxes in the E.U. and in the Netherlands and the amendment of legislation to characterize loot boxes as an unfair commercial practice. The Dutch Minister of Foreign Affairs has continued to push for an E.U.-wide ban on loot boxes, reaffirming in 2024 their intent to include it in the Digital Fairness Act. The Digital Fairness Act will focus on strengthening consumer protections, including the use of dark patterns, with the first set of proposals under the Digital Fairness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7"/>
          <w:szCs w:val="17"/>
          <w:color w:val="auto"/>
        </w:rPr>
        <w:t>Act expected to be released by end of 2025 or early 2026. The European Commission has confirmed that loot boxes are being considered as part of its preparation of those proposals, but whether those proposals will include such a prohibition on loot boxes remains unclear at this stage. Similarly, the E.U.'s Consumer Protection Cooperation Network (which is comprised of consumer protection authorities from across the E.U.'s various member states) has recently published a set of "Key Principles on In-game Virtual Currencies" that introduces novel interpretations of existing E.U. consumer protection law and that present significant challenges for games that offer in-game virtual currencies to consumers in the E.U.</w:t>
      </w:r>
    </w:p>
    <w:p>
      <w:pPr>
        <w:spacing w:after="0" w:line="1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February 2023, an Austrian regional court ruled that loot boxes in one of our competitor’s video games constitute illegal gambling due, principally, to the existence of an unauthorized secondary market for certain of the game's virtual items. While there have been other Austrian court cases that have reached the opposite conclusion, the long-term viability of this mechanism in Austria remains uncertain with the Austrian government having recently announced an intention to further regulate loot boxes. Lastly, in March 2025, Spain's Council of Ministers introduced a new minor protection bill to the Spanish Parliament that proposes to limit the availability of certain loot boxes to consumers in Spain who are at least 18 years old. It is possible that other courts or regulatory agencies could adopt similar regulations or similarly broad interpretations of existing gambling laws to effectively regulate loot boxes in their jurisdiction as a form of gambling or</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otherwise as a prohibited commercial practice</w:t>
      </w:r>
      <w:r>
        <w:rPr>
          <w:rFonts w:ascii="Times New Roman" w:cs="Times New Roman" w:eastAsia="Times New Roman" w:hAnsi="Times New Roman"/>
          <w:sz w:val="20"/>
          <w:szCs w:val="20"/>
          <w:color w:val="65B4B4"/>
        </w:rPr>
        <w:t>.</w:t>
      </w:r>
      <w:r>
        <w:rPr>
          <w:rFonts w:ascii="Times New Roman" w:cs="Times New Roman" w:eastAsia="Times New Roman" w:hAnsi="Times New Roman"/>
          <w:sz w:val="17"/>
          <w:szCs w:val="17"/>
          <w:color w:val="auto"/>
        </w:rPr>
        <w:t xml:space="preserve"> In some of our games, such as </w:t>
      </w:r>
      <w:r>
        <w:rPr>
          <w:rFonts w:ascii="Times New Roman" w:cs="Times New Roman" w:eastAsia="Times New Roman" w:hAnsi="Times New Roman"/>
          <w:sz w:val="17"/>
          <w:szCs w:val="17"/>
          <w:i w:val="1"/>
          <w:iCs w:val="1"/>
          <w:color w:val="auto"/>
        </w:rPr>
        <w:t>CSR Racing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Dragon City, Empires &amp; Puzzles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FarmVille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Golf Rival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Harry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Potter: Puzzles &amp; Spells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Merge Dragons!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Merge Magic!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Monster Legends, NBA 2K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Top Eleven, WWE 2K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Zynga Poker</w:t>
      </w:r>
      <w:r>
        <w:rPr>
          <w:rFonts w:ascii="Times New Roman" w:cs="Times New Roman" w:eastAsia="Times New Roman" w:hAnsi="Times New Roman"/>
          <w:sz w:val="17"/>
          <w:szCs w:val="17"/>
          <w:color w:val="auto"/>
        </w:rPr>
        <w:t>, certain mechanics may be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“loot boxes.”</w:t>
      </w:r>
    </w:p>
    <w:p>
      <w:pPr>
        <w:spacing w:after="0" w:line="1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New regulation by the FTC, U.S. states or other international jurisdictions, which may vary significantly across jurisdictions and with which we may be required to comply, could require that these game mechanics be modified or removed from games, increase the costs of operating our games,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9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Within the mobile games industry there has been an increase in recent years in the use of a user acquisition channel called incentivized marketing. Incentivized marketing offers generally involve offering an incentive to the players, such as in-game app currency, for certain actions, such as downloading the game, completing consumer surveys or reaching certain milestones in a game. While we believe our use of incentivized marking to be a legally permissible promotional activity, if the use of incentivized marketing were deemed to affect the legality of our games, we may be required to restructure our marketing activities in a manner that could impair our revenue or reduce the effectiveness of our marketing expenses. We may also be subject to enforcement actions by federal or state regulators, as well as private litigation, which would materially affect our business and results of operations.</w:t>
      </w:r>
    </w:p>
    <w:p>
      <w:pPr>
        <w:spacing w:after="0" w:line="10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Certain of our business models and features within our games and services are subject to new laws or regulations or evolving interpretations and application of existing laws and regulations, including those related to gambling. The growth and development of electronic commerce, virtual items and virtual currency has prompted calls for new laws and regulations and resulted in the application of existing laws or regulations that have limited or restricted the sale of our products and services in certain territories. In addition, certain foreign countries allow government censorship of interactive entertainment software products or require pre-approval processes of uncertain length before our games and services can be offered. Adoption of ratings systems, censorship, restrictions on distribution and changes to approval processes or the status of any approvals could harm our business by limiting the products we are able to offer to our consumers. In addition, compliance with new and possibly inconsistent regulations for different territories could be costly, delay, or prevent the release of our products in those territories.</w:t>
      </w:r>
    </w:p>
    <w:p>
      <w:pPr>
        <w:spacing w:after="0" w:line="3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laws and regulations concerning data privacy, consumer protection, and certain other aspects of our business are continually evolving. Failure to comply with these laws and regulations could harm our business.</w:t>
      </w:r>
    </w:p>
    <w:p>
      <w:pPr>
        <w:spacing w:after="0" w:line="69" w:lineRule="exact"/>
        <w:rPr>
          <w:sz w:val="20"/>
          <w:szCs w:val="20"/>
          <w:color w:val="auto"/>
        </w:rPr>
      </w:pPr>
    </w:p>
    <w:p>
      <w:pPr>
        <w:jc w:val="both"/>
        <w:ind w:firstLine="197"/>
        <w:spacing w:after="0" w:line="260" w:lineRule="auto"/>
        <w:rPr>
          <w:sz w:val="20"/>
          <w:szCs w:val="20"/>
          <w:color w:val="auto"/>
        </w:rPr>
      </w:pPr>
      <w:r>
        <w:rPr>
          <w:rFonts w:ascii="Times New Roman" w:cs="Times New Roman" w:eastAsia="Times New Roman" w:hAnsi="Times New Roman"/>
          <w:sz w:val="17"/>
          <w:szCs w:val="17"/>
          <w:color w:val="auto"/>
        </w:rPr>
        <w:t>We are subject to certain privacy and data protection laws and industry terms and codes of conduct, the requirements of which are rapidly changing and likely will continue to do so for the foreseeable future. This may add complexity to our compliance efforts and could have a negative impact on or materially change our approach to the sale and marketing of our products. For example, the E.U. General Data Protection Regulation ("GDPR") and the U.K. Data Protection Act 2018 ("DPA 2018") both became effective in May 2018. GDPR and DPA 2018 apply to us because we target our services to and/or receive and process the personal information of individuals in the E.U. and the U.K., and we maintain certain local entities in the E.U. and the U.K. responsible for processing personal information. GDPR and DPA 2018 contain significant penalties for non-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0" w:name="page31"/>
    <w:bookmarkEnd w:id="30"/>
    <w:p>
      <w:pPr>
        <w:jc w:val="both"/>
        <w:spacing w:after="0" w:line="257" w:lineRule="auto"/>
        <w:rPr>
          <w:sz w:val="20"/>
          <w:szCs w:val="20"/>
          <w:color w:val="auto"/>
        </w:rPr>
      </w:pPr>
      <w:r>
        <w:rPr>
          <w:rFonts w:ascii="Times New Roman" w:cs="Times New Roman" w:eastAsia="Times New Roman" w:hAnsi="Times New Roman"/>
          <w:sz w:val="17"/>
          <w:szCs w:val="17"/>
          <w:color w:val="auto"/>
        </w:rPr>
        <w:t>compliance, which have been imposed by regulators. In addition, E.U. member states continue to enact national laws to implement the GDPR. Also, the E.U. Digital Services Act (“DSA”) became fully applicable on February 17, 2024. The DSA imposes new content moderation obligations, notice and transparency obligations, advertising restrictions and other requirements on digital platforms to protect consumers and their rights online. Noncompliance with the DSA could result in fines of up to 6% of annual global revenues, which are in addition to the ability of civil society organizations and non-governmental organizations to lodge class action lawsuits. In the U.S., approximately 20 states have enacted comprehensive privacy laws and several other states have enacted more narrow privacy laws. These apply to processing of personal information of those state residents and may impact how we can collect and use that information, especially for players under 18 years of age. Other U.S. states are considering similar privacy or data protection laws that may apply to us. Certain U.S. states are also considering a number of other additional laws related to use of artificial intelligence or “automated decision making,” and advertising, such as requiring mandatory device settings for users to opt-out of advertising. Failure to comply with privacy and data protection laws may increase our costs, subject us to expensive and distracting government investigations, and result in substantial fines, or result in lawsuits and claims against us to the extent these laws include a private right of action.</w:t>
      </w:r>
    </w:p>
    <w:p>
      <w:pPr>
        <w:spacing w:after="0" w:line="200" w:lineRule="exact"/>
        <w:rPr>
          <w:sz w:val="20"/>
          <w:szCs w:val="20"/>
          <w:color w:val="auto"/>
        </w:rPr>
      </w:pPr>
    </w:p>
    <w:p>
      <w:pPr>
        <w:spacing w:after="0" w:line="28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Moreover, a number of jurisdictions impose specific and more onerous requirements regarding the collection and use of child and teen data. For instance, the U.S. Children's Online Privacy Protection Act regulates the collection, use, and disclosure of personal information from children under 13 years of age, and age-based privacy laws can apply to how we collect and use personal information or provide certain game features to players up to 18 years of age, including how or whether we are permitted to use their information for targeted advertising. The U.K. implemented an Age Appropriate Design Code, which became effective in September 2021, that sets forth risk-based standards to be implemented by organizations that provide online services (e.g., online games) likely to be accessed by children in the U.K. under the age of 18, as part of such organization’s efforts to comply with applicable data protection laws. A number of U.S. states have enacted or are considering legislation similar to the U.K. Age Appropriate Design Code and several have also enacted or are considering legislation that prohibits targeted advertising to child and teen players under the age of 16 or 18 without express consent. For instance, the California Age-Appropriate Design Code Act took effect in July 2024; however, as of March 2025, the California Attorney General has been enjoined from enforcing the act on First Amendment grounds. We cannot predict how this or other age-based obligations imposed on providers of online services may affect our compliance efforts going forward, and whether they will result in industry-wide changes to online services available to child and teen players.</w:t>
      </w:r>
    </w:p>
    <w:p>
      <w:pPr>
        <w:spacing w:after="0" w:line="200" w:lineRule="exact"/>
        <w:rPr>
          <w:sz w:val="20"/>
          <w:szCs w:val="20"/>
          <w:color w:val="auto"/>
        </w:rPr>
      </w:pPr>
    </w:p>
    <w:p>
      <w:pPr>
        <w:spacing w:after="0" w:line="27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U.S. government, including the FTC and the Department of Commerce, also continue to review the need for greater or different regulation over the collection of personal information and information about consumer behavior on the Internet and on mobile devices, and the U.S. Congress is considering a number of legislative proposals to regulate in this area, including a draft Federal comprehensive privacy law, updates to existing children's privacy laws that may expand the scope of coverage, and online safety laws that may require additional content moderation or changes to features in our games to minimize harm to children. Various government and consumer agencies worldwide have also called for new regulation and changes in industry practices. We cannot predict whether such proposals may be enacted into law, in what form or when. Any such new or amended privacy laws may add complexity to our compliance efforts and require us to expend additional financial or other resources as a result.</w:t>
      </w:r>
    </w:p>
    <w:p>
      <w:pPr>
        <w:spacing w:after="0" w:line="1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Privacy-based litigation and similar legal challenges likely will continue to affect our industry and the internet-enabled ecosystem. Existing laws that include private rights of action may continue to be leveraged by private litigants even if those legal challenges do not align with more recent privacy laws. These risks may also be increased when the law includes statutory damages instead of an evaluation of the actual harm presented by the activity in question. The ongoing, or subsequent resolution of, legal challenges affecting organizations using internet-enabled data collection and use may affect how we engage with our players and operate our business.</w:t>
      </w:r>
    </w:p>
    <w:p>
      <w:pPr>
        <w:spacing w:after="0" w:line="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Further, and most notably in the mobile ecosystem, companies that provide the platforms on which our games are played are changing the terms on which publishers can collect and use personal data obtained from users on those platforms.</w:t>
      </w:r>
    </w:p>
    <w:p>
      <w:pPr>
        <w:spacing w:after="0" w:line="87" w:lineRule="exact"/>
        <w:rPr>
          <w:sz w:val="20"/>
          <w:szCs w:val="20"/>
          <w:color w:val="auto"/>
        </w:rPr>
      </w:pPr>
    </w:p>
    <w:p>
      <w:pPr>
        <w:jc w:val="both"/>
        <w:ind w:firstLine="244"/>
        <w:spacing w:after="0" w:line="260" w:lineRule="auto"/>
        <w:rPr>
          <w:sz w:val="20"/>
          <w:szCs w:val="20"/>
          <w:color w:val="auto"/>
        </w:rPr>
      </w:pPr>
      <w:r>
        <w:rPr>
          <w:rFonts w:ascii="Times New Roman" w:cs="Times New Roman" w:eastAsia="Times New Roman" w:hAnsi="Times New Roman"/>
          <w:sz w:val="17"/>
          <w:szCs w:val="17"/>
          <w:color w:val="auto"/>
        </w:rPr>
        <w:t>Player use of our games is subject to our privacy policy and terms of service ("TOS"). If we fail to comply with our posted privacy policy, TOS, or other consents received in our game experience, or if we fail to comply with existing privacy or data protection laws and regulations, it could result in proceedings or litigation against us by governmental authorities or others, which could result in fines or judgments against us, damage our reputation, affect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affect our financial condition, and damage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1" w:name="page32"/>
    <w:bookmarkEnd w:id="31"/>
    <w:p>
      <w:pPr>
        <w:jc w:val="both"/>
        <w:ind w:firstLine="235"/>
        <w:spacing w:after="0" w:line="256" w:lineRule="auto"/>
        <w:rPr>
          <w:sz w:val="20"/>
          <w:szCs w:val="20"/>
          <w:color w:val="auto"/>
        </w:rPr>
      </w:pPr>
      <w:r>
        <w:rPr>
          <w:rFonts w:ascii="Times New Roman" w:cs="Times New Roman" w:eastAsia="Times New Roman" w:hAnsi="Times New Roman"/>
          <w:sz w:val="17"/>
          <w:szCs w:val="17"/>
          <w:color w:val="auto"/>
        </w:rPr>
        <w:t>It is possible that a number of laws and regulations may be adopted or construed to apply to us in the U.S. and elsewhere that could restrict the interactive entertainment industry, including player privacy, advertising, taxation, content suitability, and moderation, online safety, copyright, distribution, and antitrust. Furthermore, the growth and development of electronic commerce and virtual goods may prompt calls for more stringent consumer protection laws that may impose additional burdens on companies such as ours conducting business through digital sales. Any such changes would require us to devote legal and other resources to address such regulation. For example, existing laws or new laws regarding the regulation of currency, banking institutions, and unclaimed property may be interpreted to cover virtual currency or virtual goods.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Changes in current laws or regulations or the imposition of new laws and regulations in the U.S. or elsewhere regarding these activities may lessen the growth of the interactive entertainment industry and impair our business, financial condition, and operating results. Similarly, new regulatory developments internationally aimed at better protecting consumers online from illegal or harmful content and interactions may introduce additional compliance and reporting obligations for our business which may increase operating costs. If we were to fail to comply with such new regulations, it could result in proceedings or litigation against us by governmental authorities or regulators, which could result in substantial fines or judgments against us, damage our reputation, affect our financial condition, and harm our business.</w:t>
      </w:r>
    </w:p>
    <w:p>
      <w:pPr>
        <w:spacing w:after="0" w:line="113" w:lineRule="exact"/>
        <w:rPr>
          <w:sz w:val="20"/>
          <w:szCs w:val="20"/>
          <w:color w:val="auto"/>
        </w:rPr>
      </w:pPr>
    </w:p>
    <w:p>
      <w:pPr>
        <w:jc w:val="both"/>
        <w:ind w:firstLine="201"/>
        <w:spacing w:after="0" w:line="255" w:lineRule="auto"/>
        <w:rPr>
          <w:sz w:val="20"/>
          <w:szCs w:val="20"/>
          <w:color w:val="auto"/>
        </w:rPr>
      </w:pPr>
      <w:r>
        <w:rPr>
          <w:rFonts w:ascii="Times New Roman" w:cs="Times New Roman" w:eastAsia="Times New Roman" w:hAnsi="Times New Roman"/>
          <w:sz w:val="17"/>
          <w:szCs w:val="17"/>
          <w:color w:val="auto"/>
        </w:rPr>
        <w:t>Although we have structured and operate our skill tournaments and game mechanics, including random digital item mechanics, with applicable laws in mind, including any applicable laws relating to gambling, and believe that playing these games does not constitute gambling, our skill tournaments or game mechanics could become subject to gambling-related rules and regulations, or be deemed violative of current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Further, random digital item mechanics may become subject to further regulations in various jurisdictions. If this were to occur, we might be required to alter some of our games to address these additional requirements or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Moreover, the inclusion of random digital item mechanics has attracted the attention of the interactive gaming community, and if the future implementation of these features creates a negative perception of gameplay fairness or other negative perceptions, our reputation and brand could be harmed and revenue could be negatively impacted. Changes in current laws or regulations or the imposition of new laws and regulations in the U.S., the E.U., or elsewhere regarding these activities may lessen the growth of online or casual game services and impair our business. Also, existing laws or new laws regarding the marketing of in-game or in-app purchases, regulation of currency, banking institutions, unclaimed property, or money laundering may be interpreted to cover virtual currency or goods.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infringe on or are alleged to infringe on the intellectual property rights of third parties, our business could be adversely affected.</w:t>
      </w:r>
    </w:p>
    <w:p>
      <w:pPr>
        <w:spacing w:after="0" w:line="146" w:lineRule="exact"/>
        <w:rPr>
          <w:sz w:val="20"/>
          <w:szCs w:val="20"/>
          <w:color w:val="auto"/>
        </w:rPr>
      </w:pPr>
    </w:p>
    <w:p>
      <w:pPr>
        <w:jc w:val="both"/>
        <w:ind w:firstLine="181"/>
        <w:spacing w:after="0" w:line="257" w:lineRule="auto"/>
        <w:rPr>
          <w:sz w:val="20"/>
          <w:szCs w:val="20"/>
          <w:color w:val="auto"/>
        </w:rPr>
      </w:pPr>
      <w:r>
        <w:rPr>
          <w:rFonts w:ascii="Times New Roman" w:cs="Times New Roman" w:eastAsia="Times New Roman" w:hAnsi="Times New Roman"/>
          <w:sz w:val="17"/>
          <w:szCs w:val="17"/>
          <w:color w:val="auto"/>
        </w:rPr>
        <w:t>As our industry grows, we have been, and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many patents have been issued that may apply to potential new modes of delivering, playing or monetizing products and services such as those that we produce or would like to offer in the future. We may discover that future opportunities to provide new and innovative modes of game play and game delivery may be precluded by existing patents that we are unable to acquire or license on reasonable terms.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Risks related to financial and economic condition</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Delaware law, our charter documents, and provisions of our debt agreements may impede or discourage a takeover, which could cause the market price of our shares to decline.</w:t>
      </w:r>
    </w:p>
    <w:p>
      <w:pPr>
        <w:spacing w:after="0" w:line="81" w:lineRule="exact"/>
        <w:rPr>
          <w:sz w:val="20"/>
          <w:szCs w:val="20"/>
          <w:color w:val="auto"/>
        </w:rPr>
      </w:pPr>
    </w:p>
    <w:p>
      <w:pPr>
        <w:jc w:val="both"/>
        <w:ind w:firstLine="172"/>
        <w:spacing w:after="0" w:line="260" w:lineRule="auto"/>
        <w:rPr>
          <w:sz w:val="20"/>
          <w:szCs w:val="20"/>
          <w:color w:val="auto"/>
        </w:rPr>
      </w:pPr>
      <w:r>
        <w:rPr>
          <w:rFonts w:ascii="Times New Roman" w:cs="Times New Roman" w:eastAsia="Times New Roman" w:hAnsi="Times New Roman"/>
          <w:sz w:val="17"/>
          <w:szCs w:val="17"/>
          <w:color w:val="auto"/>
        </w:rPr>
        <w:t>We are a Delaware corporation, and the anti-takeover provisions of Delaware law impose various impediments to the ability of a third party to acquire control of us, even if a change in control would be beneficial to our existing stockholders. Our Board has the power, without stockholder approval, to adopt a stockholder rights plan and/or to designate the terms of one or more series of preferred stock and issue shares of preferred stock. The ability of our Board to create and issue a new series of preferred stock and certain provisions of Delaware law,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 and the value of any outstanding notes.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tax rates or exposure to additional tax liabilities could adversely affect our earnings and financial condition.</w:t>
      </w:r>
    </w:p>
    <w:p>
      <w:pPr>
        <w:spacing w:after="0" w:line="159" w:lineRule="exact"/>
        <w:rPr>
          <w:sz w:val="20"/>
          <w:szCs w:val="20"/>
          <w:color w:val="auto"/>
        </w:rPr>
      </w:pPr>
    </w:p>
    <w:p>
      <w:pPr>
        <w:jc w:val="both"/>
        <w:ind w:firstLine="201"/>
        <w:spacing w:after="0" w:line="258" w:lineRule="auto"/>
        <w:rPr>
          <w:sz w:val="20"/>
          <w:szCs w:val="20"/>
          <w:color w:val="auto"/>
        </w:rPr>
      </w:pPr>
      <w:r>
        <w:rPr>
          <w:rFonts w:ascii="Times New Roman" w:cs="Times New Roman" w:eastAsia="Times New Roman" w:hAnsi="Times New Roman"/>
          <w:sz w:val="17"/>
          <w:szCs w:val="17"/>
          <w:color w:val="auto"/>
        </w:rPr>
        <w:t>We are a multinational corporation with operations in the U.S. and various other jurisdictions around the world. Accordingly, we are subject to tax in the U.S. and in various other jurisdictions. Significant judgment is required in determining our worldwide provision for income taxes, and, in the ordinary course of business, there are many transactions and calculations for which the ultimate tax determination is uncertain. We are required to estimate future taxes. Although we currently believe our tax estimates are reasonable, the estimation process is inherently uncertain, and such estimates are not binding on tax authorities. Further, our effective tax rate or tax payable could be adversely affected by a variety of factors, including changes in the business, the mix and level of earnings between countries with differing statutory tax rates, changes in the realizability of deferred tax assets, changes in tax elections, and changes in applicable tax laws. Additionally, tax determinations are regularly subject to audit by tax authorities, and developments in those audits could adversely affect our income tax provision. Should our ultimate tax liability exceed estimates, our income tax provision and net income or loss could be materially affected.</w:t>
      </w:r>
    </w:p>
    <w:p>
      <w:pPr>
        <w:spacing w:after="0" w:line="11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recorded a valuation allowance against the majority of our deferred tax assets due to uncertainty with respect to their realization. We expect to provide for a valuation allowance until other significant positive evidence arises that suggests that the benefits associated with the deferred tax assets are more likely than not to be realized.</w:t>
      </w:r>
    </w:p>
    <w:p>
      <w:pPr>
        <w:spacing w:after="0" w:line="8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Tax Cuts and Jobs Act of 2017 (“TCJA”) eliminated the ability to deduct research and development expenditures currently and requires taxpayers to capitalize and amortize them pursuant to IRC Section 174. Although Congress is considering legislation that would modify the capitalization and amortization requirement, we have no assurance that the requirement will be deferred, repealed, or otherwise modified. It is possible that a change in the requirement could have a significant impact on our effective tax rate, tax payments, and financial condition in future periods.</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TCJA added the Base Erosion Anti-Abuse Tax ("BEAT") to prevent the reduction of tax liability through certain payments made to foreign related parties. BEAT imposes a minimum tax on taxpayers to prevent profit shifting from such payments. It is possible that we could be subject to BEAT and that it could have a significant adverse impact on our effective tax rate, tax payments, and financial condition in future periods.</w:t>
      </w:r>
    </w:p>
    <w:p>
      <w:pPr>
        <w:spacing w:after="0" w:line="10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American Rescue Plan Act of 2021 (“ARPA”) provides for numerous tax and other stimulus measures, one of which will expand the limitation of compensation deductions for certain covered employees of publicly held corporations to also include the next five highly compensated employees. This limitation will be effective for us beginning April 1, 2027 and could have a significant adverse impact on our effective tax rate, tax payments, and financial condition in future periods.</w:t>
      </w:r>
    </w:p>
    <w:p>
      <w:pPr>
        <w:spacing w:after="0" w:line="9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Inflation Reduction Act of 2022 (the “Inflation Reduction Act”) includes a corporate alternative minimum tax ("CAMT") of 15% on the adjusted financial statement income (AFSI) of corporations with an average AFSI exceeding $1.0 billion over a consecutive three-year period. The CAMT became effective for the fiscal year ended March 31, 2024. It is possible that the CAMT could result in an additional tax liability over the regular federal corporate tax liability in a particular year based on differences between book and taxable income. We estimate no tax liability relating to the CAMT for the current fiscal year. We will continue to evaluate the potential impact the Inflation Reduction Act may have on our operations and Consolidated Financial Statements in future periods. It is possible that these changes could have an adverse impact on our effective tax rate, tax payments, and financial condition in future periods.</w:t>
      </w:r>
    </w:p>
    <w:p>
      <w:pPr>
        <w:spacing w:after="0" w:line="10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a number of countries are actively pursuing fundamental changes to the tax laws applicable to multinational companies like us and agreed to implement a global minimum tax regime, referred to as Pillar Two, intended to conform to the new and evolving Organisation for Economic Cooperation and Development ("OECD") guidelines. Countries may enact Pillar Two differently than the OECD model rules and on different timelines. For instance, on December 15, 2022, the E.U. Member States formally adopted the E.U.'s Pillar Two Directive requiring E.U. members to implement legislation. On July 11, 2023, the U.K. similarly enacted legislation. Pillar Two is generally effective for years beginning on or after January 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3" w:name="page34"/>
    <w:bookmarkEnd w:id="33"/>
    <w:p>
      <w:pPr>
        <w:jc w:val="both"/>
        <w:spacing w:after="0" w:line="257" w:lineRule="auto"/>
        <w:rPr>
          <w:sz w:val="20"/>
          <w:szCs w:val="20"/>
          <w:color w:val="auto"/>
        </w:rPr>
      </w:pPr>
      <w:r>
        <w:rPr>
          <w:rFonts w:ascii="Times New Roman" w:cs="Times New Roman" w:eastAsia="Times New Roman" w:hAnsi="Times New Roman"/>
          <w:sz w:val="17"/>
          <w:szCs w:val="17"/>
          <w:color w:val="auto"/>
        </w:rPr>
        <w:t>2024 in the E.U. and U.K. Although the U.S. has not yet enacted Pillar Two legislation, many other countries have implemented similar legislation with varying effective dates in the future. Many aspects of Pillar Two became effective for the fiscal year ended March 31, 2025. It is possible that Pillar Two could result in additional tax liability over the regular corporate tax liability in a particular jurisdiction to the extent tax expense is less than the 15% minimum rate and could have an adverse impact on our effective tax rate, tax payments, and financial condition in future periods. Additionally, certain jurisdictions have modified or are seeking to modify their tax incentives to align with the Pillar Two criteria. The U.S. has not yet enacted Pillar Two legislation, including aligning certain tax incentives with Pillar Two requirements and there is a risk that the under taxed profits rules would allow foreign countries to tax U.S. companies on U.S. income. Changes, or the failure to change tax incentive provisions to be Pillar Two compliant could have an adverse impact. We will continue to monitor legislative and regulatory developments to assess potential impact. In addition, an increasing number of countries have enacted, or are considering enacting, revenue-based taxes on digital services. These digital services taxes target various business activities, including online advertising and, in some cases, video game sales. While the scope and applicability of these taxes often remains unclear, digital services taxes that ultimately apply to us could have an adverse impact on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and uncertainties of international trade, including fluctuations in the values of local foreign currencies against the dollar.</w:t>
      </w:r>
    </w:p>
    <w:p>
      <w:pPr>
        <w:spacing w:after="0" w:line="159" w:lineRule="exact"/>
        <w:rPr>
          <w:sz w:val="20"/>
          <w:szCs w:val="20"/>
          <w:color w:val="auto"/>
        </w:rPr>
      </w:pPr>
    </w:p>
    <w:p>
      <w:pPr>
        <w:jc w:val="both"/>
        <w:ind w:firstLine="174"/>
        <w:spacing w:after="0" w:line="258" w:lineRule="auto"/>
        <w:rPr>
          <w:sz w:val="20"/>
          <w:szCs w:val="20"/>
          <w:color w:val="auto"/>
        </w:rPr>
      </w:pPr>
      <w:r>
        <w:rPr>
          <w:rFonts w:ascii="Times New Roman" w:cs="Times New Roman" w:eastAsia="Times New Roman" w:hAnsi="Times New Roman"/>
          <w:sz w:val="17"/>
          <w:szCs w:val="17"/>
          <w:color w:val="auto"/>
        </w:rPr>
        <w:t>Sales in international markets, primarily in Europe, have accounted for a significant portion of our net revenue. For the fiscal year ended March 31, 2025, 39.5% of our net revenue was earned outside the U.S. We are continuing to execute on our growth initiatives in Asia, where our strategy is to broaden the distribution of our existing products and expand our online gaming presence, especially in China. We are subject to risks inherent in foreign trade, including increased credit risks, tariffs, and duties, fluctuations in foreign currency exchange rates, especially in jurisdictions like Turkey; shipping delays, and international political, regulatory and economic developments, such as the Russia-Ukraine war and the Israel-Hamas war, all of which can have a significant influence on our operating results. Many of our international sales are made in local currencies, which could fluctuate against the dollar. While we may use forward exchange contracts to a limited extent to seek to mitigate foreign currency risk, our operating results could be adversely affected by unfavorable foreign currency fluctuations.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financial results could be adversely affected by the application of existing or future accounting standards to our business as it evolves.</w:t>
      </w:r>
    </w:p>
    <w:p>
      <w:pPr>
        <w:spacing w:after="0" w:line="159" w:lineRule="exact"/>
        <w:rPr>
          <w:sz w:val="20"/>
          <w:szCs w:val="20"/>
          <w:color w:val="auto"/>
        </w:rPr>
      </w:pPr>
    </w:p>
    <w:p>
      <w:pPr>
        <w:jc w:val="both"/>
        <w:ind w:firstLine="203"/>
        <w:spacing w:after="0" w:line="257" w:lineRule="auto"/>
        <w:rPr>
          <w:sz w:val="20"/>
          <w:szCs w:val="20"/>
          <w:color w:val="auto"/>
        </w:rPr>
      </w:pPr>
      <w:r>
        <w:rPr>
          <w:rFonts w:ascii="Times New Roman" w:cs="Times New Roman" w:eastAsia="Times New Roman" w:hAnsi="Times New Roman"/>
          <w:sz w:val="17"/>
          <w:szCs w:val="17"/>
          <w:color w:val="auto"/>
        </w:rPr>
        <w:t>Our financial results are reported under the accounting policies promulgated by the SEC and national accounting standards bodies and the methods, estimates, and judgments that we use in applying our accounting policies. For example, standards regarding revenue recognition have and could further significantly affect the way we account for revenue related to our products and services. We expect that an increasing number of our games will be supported with material post-release activities, such as content updates and online-enabled features, and we could therefore be required to recognize more of the related revenues for those games over a period of time rather than at the time of sale. Further, as we increase our downloadable content and add new features to our online services, user playing patterns can affect our estimate of the service period, and we could be required to recognize revenues, and defer related costs, over a shorter or longer period of time than we initially allocated. As we enhance, expand and diversify our business and product offerings, the application of existing or future financial accounting standards, particularly those relating to the way we account for revenue, could have a significant adverse effect on our reported results although not necessarily on our cash flows.</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Declines in consumer spending and other adverse changes in the economy could have a material adverse effect on our business, financial condition and operating results.</w:t>
      </w:r>
    </w:p>
    <w:p>
      <w:pPr>
        <w:spacing w:after="0" w:line="69" w:lineRule="exact"/>
        <w:rPr>
          <w:sz w:val="20"/>
          <w:szCs w:val="20"/>
          <w:color w:val="auto"/>
        </w:rPr>
      </w:pPr>
    </w:p>
    <w:p>
      <w:pPr>
        <w:jc w:val="both"/>
        <w:ind w:firstLine="176"/>
        <w:spacing w:after="0" w:line="256" w:lineRule="auto"/>
        <w:rPr>
          <w:sz w:val="20"/>
          <w:szCs w:val="20"/>
          <w:color w:val="auto"/>
        </w:rPr>
      </w:pPr>
      <w:r>
        <w:rPr>
          <w:rFonts w:ascii="Times New Roman" w:cs="Times New Roman" w:eastAsia="Times New Roman" w:hAnsi="Times New Roman"/>
          <w:sz w:val="17"/>
          <w:szCs w:val="17"/>
          <w:color w:val="auto"/>
        </w:rPr>
        <w:t>Most of our products involve discretionary spending on the part of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including periods of increased inflation, stagflation, unemployment levels, tax rates, interest rates, energy prices, or declining consumer confidence, or the adverse impacts of implemented or threatened tariffs or trade wars could reduce consumer spending. Natural disasters, acts of war, pandemics, terrorism, transportation disruptions, climate change, adverse weather conditions, and other reasons beyond our control could further reduce discretionary spending on entertainment activities and products. Reduced consumer spending has and may in the future continue to result in reduced demand for our products and may also require increased selling and promotional expenses, which has had and may continue to have an adverse effect on our business, financial condition and operating results. Moreover, we maintain cash balances at third-party financial institutions in excess of the Federal Deposit Insurance Corporation insurance limit. If the financial conditions affecting the banking industry and financial markets cause additional banks and financial institutions to enter receivership or become insolvent, our ability to access our existing cash, cash equivalents and investments, or to draw on our existing lines of credit, may be threatened and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4" w:name="page35"/>
    <w:bookmarkEnd w:id="34"/>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during periods of relative economic weakness, our consolidated credit risk, reflecting our counterparty dealings with distributors, customers, capital providers and others may increase, perhaps materially so. As a result of geopolitical conditions, our counterparty credit risk may be particularly exacerbated, as certain of our counterparties may face financial difficulties in paying owed amounts on a timely basis or at all. Furthermore, uncertainty and adverse changes in the economy could also increase the risk of material losses on our investments, increase costs associated with developing and publishing our products, increase the cost and availability of sources of financing, and increase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1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particularly susceptible to market conditions and risks associated with the entertainment industry, which, in addition to general macroeconomic downturns, also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Additional issuances or sales of equity securities by us would dilute the ownership of our existing stockholders and could adversely affect the market price of our common stock.</w:t>
      </w:r>
    </w:p>
    <w:p>
      <w:pPr>
        <w:spacing w:after="0" w:line="8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issue equity or equity-based securities in the future to facilitate acquisitions or strategic transactions, as we did in connection with our acquisitions of Zynga and Gearbox, to adjust our ratio of debt to equity, to fund expansion of our operations or for other purposes. To the extent we issue additional equity securities, the percentage ownership of our existing stockholders would be reduced. The sale of substantial amounts of our common stock could adversely affect its price. The sale or the availability for sale of a large number of shares of our common stock in the public market could cause the price of our common stock to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corporate and social responsibility and reputation.</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 Negative reactions to our products and services may not be foreseeable. We also may not effectively manage or respond to these negative perceptions for reasons within or outside of our control. We expect to continue to expend resources to address concerns with our products and services. Negative perceptions could arise despite our efforts, though, and may result in loss of engagement with our products and services, increased scrutiny from government bodies and consumer groups, and/or litigation, any of which could negatively impact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Catastrophic events and climate change may have a long-term impact on our business.</w:t>
      </w:r>
    </w:p>
    <w:p>
      <w:pPr>
        <w:spacing w:after="0" w:line="15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Natural disasters, cyber incidents, weather events, wildfires, power disruptions, telecommunications failures, pandemics, health crises and other public health events, failed upgrades of existing systems or migrations to new systems, acts of terrorism, geopolitical conflict (such as the Russia-Ukraine war and the Israel-Hamas war), or other events could cause outages, disruptions and/or degradations of our infrastructure (including our or our partners’ information technology and network systems), a failure in our ability to conduct normal business operations, or the closure of public spaces in which players engage with our games and services all of which could materially impact our reputation and brand, financial condition and operating result.</w:t>
      </w:r>
    </w:p>
    <w:p>
      <w:pPr>
        <w:spacing w:after="0" w:line="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Furthermore, climate change could result in an increase in the frequency or severity of natural disasters, such as earthquakes, fires, floods, or significant power outages and other catastrophic events. Such events may adversely impact critical infrastructure, have the potential to disrupt our business, our third-party suppliers, or the business of our customers, and may cause us to experience higher attrition, losses and additional costs to maintain or resume operations. In addition, rapidly changing customer and regulatory requirements, along with stakeholder expectations, to reduce carbon emissions and otherwise to reduce our environmental footprint could increase our costs of operations to comply or present a risk of loss of business, if we are not able to meet those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the effects of inflation.</w:t>
      </w:r>
    </w:p>
    <w:p>
      <w:pPr>
        <w:spacing w:after="0" w:line="15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Inflation has the potential to adversely affect our business, results of operations, financial position and liquidity by increasing our overall cost structure, particularly if we are unable to achieve commensurate increases in the prices we charge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7"/>
          <w:szCs w:val="17"/>
          <w:color w:val="auto"/>
        </w:rPr>
        <w:t>our customers. The existence of inflation in the economy has the potential to result in higher interest rates and capital costs, supply shortages, increased costs of labor and other similar effects. Further, events, such as the Russia-Ukraine war and the Israel-Hamas war, and the adverse impacts of implemented tariffs and trade wars, could affect inflationary trends. As a result of inflation, we have experienced and may continue to experience, increases in our costs associated with operating our business including labor, equipment and other inputs. Although we may take measures to mitigate the impact of this inflation through pricing actions and efficiency gains, if these measures are not effective our business, results of operations, financial position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and may become involved in legal proceedings that may result in adverse outcomes.</w:t>
      </w:r>
    </w:p>
    <w:p>
      <w:pPr>
        <w:spacing w:after="0" w:line="15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currently, and from time to time in the future may become, subject to legal proceedings, claims, litigation and government investigations or inquiries, which could be expensive, lengthy, disruptive to normal business operations and occupy a significant amount of our employees’ time and attention. In addition, the outcome of any legal proceedings, claims, litigation, investigations or inquiries may be difficult to predict and could have a material adverse effect on our business, reputation, operating results, or financial condition.</w:t>
      </w:r>
    </w:p>
    <w:p>
      <w:pPr>
        <w:spacing w:after="0" w:line="9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 and Strategy</w:t>
      </w:r>
    </w:p>
    <w:p>
      <w:pPr>
        <w:spacing w:after="0" w:line="15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business operations depend on the availability, integrity and secure processing, storage, and transmission of confidential and sensitive information, including personal information, digitally and through interconnected systems, including those of our vendors, service providers and other third parties on which we rely. Consequently, we maintain a formal information security program, including physical, technical and administrative safeguards, to prevent and mitigate the risks posed by cybersecurity threats and incidents and to identify, analyze, address, mitigate and remediate those incidents that do occur. As part of our program:</w:t>
      </w:r>
    </w:p>
    <w:p>
      <w:pPr>
        <w:spacing w:after="0" w:line="107" w:lineRule="exact"/>
        <w:rPr>
          <w:sz w:val="20"/>
          <w:szCs w:val="20"/>
          <w:color w:val="auto"/>
        </w:rPr>
      </w:pPr>
    </w:p>
    <w:p>
      <w:pPr>
        <w:jc w:val="both"/>
        <w:ind w:firstLine="622"/>
        <w:spacing w:after="0" w:line="270" w:lineRule="auto"/>
        <w:tabs>
          <w:tab w:leader="none" w:pos="122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regularly review and update at least annually our standard policies and procedures related to information technology and analyze those policies against the standards and controls that we believe are most relevant to our Company set by organizations such as the National Institute of Standards and Technology cybersecurity framework and the International Organization for Standardization ("ISO");</w:t>
      </w:r>
    </w:p>
    <w:p>
      <w:pPr>
        <w:spacing w:after="0" w:line="87" w:lineRule="exact"/>
        <w:rPr>
          <w:rFonts w:ascii="Times New Roman" w:cs="Times New Roman" w:eastAsia="Times New Roman" w:hAnsi="Times New Roman"/>
          <w:sz w:val="17"/>
          <w:szCs w:val="17"/>
          <w:color w:val="auto"/>
        </w:rPr>
      </w:pPr>
    </w:p>
    <w:p>
      <w:pPr>
        <w:ind w:firstLine="622"/>
        <w:spacing w:after="0" w:line="287" w:lineRule="auto"/>
        <w:tabs>
          <w:tab w:leader="none" w:pos="123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maintain a dedicated cybersecurity team under the direction of our Chief Technology Officer ("CTO") and supported by our Chief Information Security Officer ("CISO"), each of whom has expertise related to data and network security, data governance and risk management;</w:t>
      </w:r>
    </w:p>
    <w:p>
      <w:pPr>
        <w:spacing w:after="0" w:line="8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regularly test our internal IT controls;</w:t>
      </w:r>
    </w:p>
    <w:p>
      <w:pPr>
        <w:spacing w:after="0" w:line="152"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regularly conduct internal vulnerability assessments as well as third-party penetration tests;</w:t>
      </w:r>
    </w:p>
    <w:p>
      <w:pPr>
        <w:spacing w:after="0" w:line="139" w:lineRule="exact"/>
        <w:rPr>
          <w:rFonts w:ascii="Times New Roman" w:cs="Times New Roman" w:eastAsia="Times New Roman" w:hAnsi="Times New Roman"/>
          <w:sz w:val="17"/>
          <w:szCs w:val="17"/>
          <w:color w:val="auto"/>
        </w:rPr>
      </w:pPr>
    </w:p>
    <w:p>
      <w:pPr>
        <w:ind w:firstLine="622"/>
        <w:spacing w:after="0" w:line="287" w:lineRule="auto"/>
        <w:tabs>
          <w:tab w:leader="none" w:pos="122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maintain, and we require our third-party service providers to maintain, security controls designed to ensure the confidentiality, integrity, and availability of our information systems and the confidential and sensitive information we maintain and process, or which is processed on our behalf;</w:t>
      </w:r>
    </w:p>
    <w:p>
      <w:pPr>
        <w:spacing w:after="0" w:line="8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conduct pre-engagement and targeted recurring reviews of the security controls and security-compliance posture of applicable third-party</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providers;</w:t>
      </w:r>
    </w:p>
    <w:p>
      <w:pPr>
        <w:spacing w:after="0" w:line="135"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are required to complete periodic trainings that cover security and privacy best practices and company policies;</w:t>
      </w:r>
    </w:p>
    <w:p>
      <w:pPr>
        <w:spacing w:after="0" w:line="13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regularly review our business continuity and other back-up plans, including as they relate to cybersecurity incidents; and</w:t>
      </w:r>
    </w:p>
    <w:p>
      <w:pPr>
        <w:spacing w:after="0" w:line="152" w:lineRule="exact"/>
        <w:rPr>
          <w:rFonts w:ascii="Times New Roman" w:cs="Times New Roman" w:eastAsia="Times New Roman" w:hAnsi="Times New Roman"/>
          <w:sz w:val="17"/>
          <w:szCs w:val="17"/>
          <w:color w:val="auto"/>
        </w:rPr>
      </w:pPr>
    </w:p>
    <w:p>
      <w:pPr>
        <w:ind w:firstLine="622"/>
        <w:spacing w:after="0" w:line="287" w:lineRule="auto"/>
        <w:tabs>
          <w:tab w:leader="none" w:pos="122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 periodic simulations of attack scenarios by an internal “Red Team” to test the efficacy of both security controls and our tactical incident response procedures.</w:t>
      </w:r>
    </w:p>
    <w:p>
      <w:pPr>
        <w:spacing w:after="0" w:line="7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work with third-party cybersecurity and data privacy professionals as part of the design and implementation of our information security program, including our auditors, independent assessors (for example, for penetration testing) of our cybersecurity program, internal and external legal counsel, and other consultants.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6" w:name="page37"/>
    <w:bookmarkEnd w:id="36"/>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a documented incident monitoring, escalation and reporting process and procedure that we believe to be effective in detecting and analyzing cyber incidents as they occur to determine appropriate response action and reporting, including the materiality of any such incidents to our financial condition and operations. This process includes:</w:t>
      </w:r>
    </w:p>
    <w:p>
      <w:pPr>
        <w:spacing w:after="0" w:line="101" w:lineRule="exact"/>
        <w:rPr>
          <w:sz w:val="20"/>
          <w:szCs w:val="20"/>
          <w:color w:val="auto"/>
        </w:rPr>
      </w:pPr>
    </w:p>
    <w:p>
      <w:pPr>
        <w:ind w:left="1240" w:hanging="618"/>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continual monitoring of our systems and logs by both dedicated cybersecurity internal and outsourced staff;</w:t>
      </w:r>
    </w:p>
    <w:p>
      <w:pPr>
        <w:spacing w:after="0" w:line="152" w:lineRule="exact"/>
        <w:rPr>
          <w:rFonts w:ascii="Times New Roman" w:cs="Times New Roman" w:eastAsia="Times New Roman" w:hAnsi="Times New Roman"/>
          <w:sz w:val="17"/>
          <w:szCs w:val="17"/>
          <w:color w:val="auto"/>
        </w:rPr>
      </w:pPr>
    </w:p>
    <w:p>
      <w:pPr>
        <w:ind w:firstLine="622"/>
        <w:spacing w:after="0" w:line="287" w:lineRule="auto"/>
        <w:tabs>
          <w:tab w:leader="none" w:pos="123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 escalation to and review by our CISO of certain signals, including evidence of external threat actors, ransomware attacks, data exfiltration, identity compromise or unusual requests from management or certain departments;</w:t>
      </w:r>
    </w:p>
    <w:p>
      <w:pPr>
        <w:spacing w:after="0" w:line="73" w:lineRule="exact"/>
        <w:rPr>
          <w:rFonts w:ascii="Times New Roman" w:cs="Times New Roman" w:eastAsia="Times New Roman" w:hAnsi="Times New Roman"/>
          <w:sz w:val="17"/>
          <w:szCs w:val="17"/>
          <w:color w:val="auto"/>
        </w:rPr>
      </w:pPr>
    </w:p>
    <w:p>
      <w:pPr>
        <w:jc w:val="both"/>
        <w:ind w:firstLine="622"/>
        <w:spacing w:after="0" w:line="264" w:lineRule="auto"/>
        <w:tabs>
          <w:tab w:leader="none" w:pos="122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deemed appropriate, reporting by our CISO to the Company’s Management and its Disclosure Committee, comprised of multi-disciplinary senior leaders across the organization, including representatives of our accounting, human resources, finance, information technology and legal functions, and consultation with internal and external legal counsel, for further review and determination of the scope and materiality of the incident or incidents, including whether public disclosure is appropriate or required; and</w:t>
      </w:r>
    </w:p>
    <w:p>
      <w:pPr>
        <w:spacing w:after="0" w:line="10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informing the Audit Committee of our Board of significant or material cybersecurity incidents, as appropriate.</w:t>
      </w:r>
    </w:p>
    <w:p>
      <w:pPr>
        <w:spacing w:after="0" w:line="15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All incidents are documented and recorded and catalogued for further review by the CISO and their team. Incidents that are deemed to be significant and/or rise to the level of a “security breach” are documented in a security incident register as part of our established vulnerability monitoring and incident response procedures.</w:t>
      </w:r>
    </w:p>
    <w:p>
      <w:pPr>
        <w:spacing w:after="0" w:line="8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While we, our clients and our vendors are regularly exposed to malicious technology-related events and threats, none of these threats or incidents, either individually or in the aggregate of related occurrences, have materially affected the Company in the period covered by this report. We have faced—and in the future may face—sophisticated attacks, including attacks referred to as advanced persistent threats, which are cyberattacks aimed at compromising our intellectual property and other commercially sensitive information, such as the source code and game assets for our software or confidential customer or employee information, which may remain undetected for prolonged periods of time. In September 2022, we experienced a network intrusion in which an unauthorized third party illegally accessed and downloaded confidential information from Rockstar Games’ systems, including early development footage for the next Grand Theft Auto. Subsequently, also in September 2022, an unauthorized third party illegally accessed credentials for a vendor platform that 2K Games uses to provide help desk support to its customers. The unauthorized party sent a communication to certain players containing a malicious link. 2K Games immediately notified all affected users and took steps to restrict further unauthorized activity until service was restored. In connection with this activity, we have incurred certain immaterial incremental one-time costs related to consultants, experts and data recovery efforts and we generally expect to incur additional costs related to cybersecurity protections in the future.</w:t>
      </w:r>
    </w:p>
    <w:p>
      <w:pPr>
        <w:spacing w:after="0" w:line="1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determining materiality, cybersecurity incidents are reviewed not only for potential financial impacts, which could include potential legal and regulatory penalties, stolen assets or funds, system damage, forensic and remediation costs, lost client revenue or litigation costs, but also the breadth and sensitivity of data exposure, data exfiltration, impacts on the ability to operate our business or provide our services, client dissatisfaction, reputational harm, and loss of investor confidence. See Item 1A, Risk Factors, for more information on the cybersecurity threats facing our Company.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14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Board actively oversees our risk management activities both directly and through its committees and considers various risk topics throughout the year, including, through the Audit Committee, cybersecurity and information security risk management and controls. As part of its oversight function, the Board, directly and through its Audit Committee, oversees the Company’s risk assessment and risk management policies, including related to cybersecurity. At least quarterly (with respect to the Audit Committee) and annually (with respect to the Board), our CTO and CISO report to the Audit Committee or the Board, respectively, addressing a broad range of topics, including significant cybersecurity incidents that have occurred, if any, since the last update, the status of projects and initiatives to update our cybersecurity policies and practices, and ongoing efforts to prevent, detect, and respond to internal and external critical threats.</w:t>
      </w:r>
    </w:p>
    <w:p>
      <w:pPr>
        <w:spacing w:after="0" w:line="10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senior management is responsible for assessing and managing the Company’s various exposures to risk, including those related to cybersecurity, on a day-to-day basis, including the identification of risks through an enterprise risk management framework and the creation of appropriate risk management programs and policies to address such risks. Our CTO and CISO have primary responsibility for managing our information security program and efforts, including with respect to cybersecurity. They work closely with key stakeholders, including internal committees such as our Cyber Steering Group, peer institutions, and industry groups, in order to manage cybersecurity and information security risk. Our internal audit team is responsible for testing and auditing our information-technology internal controls. In addition, leaders from our communications, finance, legal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7"/>
          <w:szCs w:val="17"/>
          <w:color w:val="auto"/>
        </w:rPr>
        <w:t>and risk teams participate in incident response training, including tabletop exercises, designed to enhance our ability to respond to cybersecurity incidents quickly, efficiently and with the appropriate degree of urgency.</w:t>
      </w:r>
    </w:p>
    <w:p>
      <w:pPr>
        <w:spacing w:after="0" w:line="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our information technology team to be well-qualified in this area. These qualifications include collective decades of professional experience in the field, in both private enterprise and government, and relevant training and certifications, such as Certified Information Systems Security Professional certification, ISO 27001 certification, and other technical cybersecurity certifications from ISC2, the SANs Institute and OffSec as well as recent participation in IT and cybersecurity programs organized by leading educational institutions with expertise in the field.</w:t>
      </w:r>
    </w:p>
    <w:p>
      <w:pPr>
        <w:spacing w:after="0" w:line="10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44" w:lineRule="exact"/>
        <w:rPr>
          <w:sz w:val="20"/>
          <w:szCs w:val="20"/>
          <w:color w:val="auto"/>
        </w:rPr>
      </w:pPr>
    </w:p>
    <w:p>
      <w:pPr>
        <w:jc w:val="both"/>
        <w:ind w:firstLine="236"/>
        <w:spacing w:after="0" w:line="287" w:lineRule="auto"/>
        <w:rPr>
          <w:sz w:val="20"/>
          <w:szCs w:val="20"/>
          <w:color w:val="auto"/>
        </w:rPr>
      </w:pPr>
      <w:r>
        <w:rPr>
          <w:rFonts w:ascii="Times New Roman" w:cs="Times New Roman" w:eastAsia="Times New Roman" w:hAnsi="Times New Roman"/>
          <w:sz w:val="17"/>
          <w:szCs w:val="17"/>
          <w:color w:val="auto"/>
        </w:rPr>
        <w:t>Our principal executive offices are located at 110 West 44th Street (also known as 1133 Avenue of the Americas), New York, New York, in approximately 102,000 square feet of space under a lease expiring in December 2037.</w:t>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also lease approximately 64,000 square feet of space under a lease expiring in March 2030 at 622 Broadway, New York, New York.</w:t>
      </w:r>
    </w:p>
    <w:p>
      <w:pPr>
        <w:spacing w:after="0" w:line="153" w:lineRule="exact"/>
        <w:rPr>
          <w:sz w:val="20"/>
          <w:szCs w:val="20"/>
          <w:color w:val="auto"/>
        </w:rPr>
      </w:pPr>
    </w:p>
    <w:p>
      <w:pPr>
        <w:jc w:val="both"/>
        <w:ind w:firstLine="247"/>
        <w:spacing w:after="0" w:line="287" w:lineRule="auto"/>
        <w:rPr>
          <w:sz w:val="20"/>
          <w:szCs w:val="20"/>
          <w:color w:val="auto"/>
        </w:rPr>
      </w:pPr>
      <w:r>
        <w:rPr>
          <w:rFonts w:ascii="Times New Roman" w:cs="Times New Roman" w:eastAsia="Times New Roman" w:hAnsi="Times New Roman"/>
          <w:sz w:val="17"/>
          <w:szCs w:val="17"/>
          <w:color w:val="auto"/>
        </w:rPr>
        <w:t>Take-Two Interactive Software Europe Ltd, our wholly-owned subsidiary, leases approximately 39,500 square feet of office space in London, U.K., which expires in December 2034 and owns two office buildings in Edinburgh, U.K.</w:t>
      </w:r>
    </w:p>
    <w:p>
      <w:pPr>
        <w:spacing w:after="0" w:line="74" w:lineRule="exact"/>
        <w:rPr>
          <w:sz w:val="20"/>
          <w:szCs w:val="20"/>
          <w:color w:val="auto"/>
        </w:rPr>
      </w:pPr>
    </w:p>
    <w:p>
      <w:pPr>
        <w:jc w:val="both"/>
        <w:ind w:firstLine="186"/>
        <w:spacing w:after="0" w:line="287" w:lineRule="auto"/>
        <w:rPr>
          <w:sz w:val="20"/>
          <w:szCs w:val="20"/>
          <w:color w:val="auto"/>
        </w:rPr>
      </w:pPr>
      <w:r>
        <w:rPr>
          <w:rFonts w:ascii="Times New Roman" w:cs="Times New Roman" w:eastAsia="Times New Roman" w:hAnsi="Times New Roman"/>
          <w:sz w:val="17"/>
          <w:szCs w:val="17"/>
          <w:color w:val="auto"/>
        </w:rPr>
        <w:t>2K corporate offices and two development studios occupy approximately 90,000 square feet of leased office space in Novato, California, under a lease expiring in October 2033.</w:t>
      </w:r>
    </w:p>
    <w:p>
      <w:pPr>
        <w:spacing w:after="0" w:line="8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Zynga corporate office occupy approximately 62,000 square feet of leased office space in San Mateo, California. The lease expires in June 2032. In addition, Zynga leases approximately 185,000 square feet for its former corporate headquarters located in San Francisco, California, which is now closed. The lease expires in June 2031.</w:t>
      </w:r>
    </w:p>
    <w:p>
      <w:pPr>
        <w:spacing w:after="0" w:line="101"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color w:val="auto"/>
        </w:rPr>
        <w:t>In addition, our other subsidiaries lease office space in Sydney and Pyrmont, Australia; Halifax, Oakville, Montreal, Parksville, Quebec, Toronto, and Vancouver, Canada; Chengdu, Hong Kong, and Shanghai, China; Prague, Czech Republic; Helsinki, Finland; Cesson-Sévigné and Paris, France; Munich and Berlin, Germany; Budapest, Hungary; Bangalore, India; Dublin, Ireland; Tel Aviv, Israel; Tokyo, Japan; Belgrade, Serbia; Singapore; Seoul, South Korea; Barcelona, Madrid, and Valencia, Spain; Luzerne, Switzerland; Taipei, Taiwan; Istanbul, Turkey; Birmingham, Brighton, Dundee, London, Lincoln, and Leeds, U.K.; and, in the U.S.: Agoura Hills, Carlsbad, Foothill Ranch, Irvine, Los Angeles, Petaluma, Moorpark, San Francisco, San Mateo, and San Rafael, California; Chicago, Illinois; Sparks, Maryland; Andover and Westwood, Massachusetts; Las Vegas, Nevada; Bethpage and New York, New York; Eugene, Oregon; Austin and Frisco, Texas; and Kirkland and Seattle, Washington.</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For information regarding our lease commitments, see </w:t>
      </w:r>
      <w:r>
        <w:rPr>
          <w:rFonts w:ascii="Times New Roman" w:cs="Times New Roman" w:eastAsia="Times New Roman" w:hAnsi="Times New Roman"/>
          <w:sz w:val="17"/>
          <w:szCs w:val="17"/>
          <w:u w:val="single" w:color="auto"/>
          <w:color w:val="0000FF"/>
        </w:rPr>
        <w:t>Note 13 - Leases</w:t>
      </w:r>
      <w:r>
        <w:rPr>
          <w:rFonts w:ascii="Times New Roman" w:cs="Times New Roman" w:eastAsia="Times New Roman" w:hAnsi="Times New Roman"/>
          <w:sz w:val="17"/>
          <w:szCs w:val="17"/>
          <w:color w:val="auto"/>
        </w:rPr>
        <w:t xml:space="preserve"> to our Consolidated Financial Statements.</w:t>
      </w:r>
    </w:p>
    <w:p>
      <w:pPr>
        <w:spacing w:after="0" w:line="1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u w:val="single" w:color="auto"/>
          <w:color w:val="0000FF"/>
        </w:rPr>
        <w:t>Note 14 - Commitments and Contingencies</w:t>
      </w:r>
      <w:r>
        <w:rPr>
          <w:rFonts w:ascii="Times New Roman" w:cs="Times New Roman" w:eastAsia="Times New Roman" w:hAnsi="Times New Roman"/>
          <w:sz w:val="17"/>
          <w:szCs w:val="17"/>
          <w:color w:val="auto"/>
        </w:rPr>
        <w:t xml:space="preserve"> to our Consolidated Financial Statements for disclosures regarding our legal proceedings.</w:t>
      </w:r>
    </w:p>
    <w:p>
      <w:pPr>
        <w:spacing w:after="0" w:line="13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5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Information and Holders</w:t>
      </w:r>
    </w:p>
    <w:p>
      <w:pPr>
        <w:spacing w:after="0" w:line="144" w:lineRule="exact"/>
        <w:rPr>
          <w:sz w:val="20"/>
          <w:szCs w:val="20"/>
          <w:color w:val="auto"/>
        </w:rPr>
      </w:pPr>
    </w:p>
    <w:p>
      <w:pPr>
        <w:jc w:val="both"/>
        <w:ind w:firstLine="173"/>
        <w:spacing w:after="0" w:line="287" w:lineRule="auto"/>
        <w:rPr>
          <w:sz w:val="20"/>
          <w:szCs w:val="20"/>
          <w:color w:val="auto"/>
        </w:rPr>
      </w:pPr>
      <w:r>
        <w:rPr>
          <w:rFonts w:ascii="Times New Roman" w:cs="Times New Roman" w:eastAsia="Times New Roman" w:hAnsi="Times New Roman"/>
          <w:sz w:val="17"/>
          <w:szCs w:val="17"/>
          <w:color w:val="auto"/>
        </w:rPr>
        <w:t>Our common stock trades on the NASDAQ Global Select Market under the symbol "TTWO." The number of record holders of our common stock was 313 as of May 5,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Policy</w:t>
      </w:r>
    </w:p>
    <w:p>
      <w:pPr>
        <w:spacing w:after="0" w:line="157" w:lineRule="exact"/>
        <w:rPr>
          <w:sz w:val="20"/>
          <w:szCs w:val="20"/>
          <w:color w:val="auto"/>
        </w:rPr>
      </w:pPr>
    </w:p>
    <w:p>
      <w:pPr>
        <w:jc w:val="both"/>
        <w:ind w:firstLine="206"/>
        <w:spacing w:after="0" w:line="270" w:lineRule="auto"/>
        <w:rPr>
          <w:sz w:val="20"/>
          <w:szCs w:val="20"/>
          <w:color w:val="auto"/>
        </w:rPr>
      </w:pPr>
      <w:r>
        <w:rPr>
          <w:rFonts w:ascii="Times New Roman" w:cs="Times New Roman" w:eastAsia="Times New Roman" w:hAnsi="Times New Roman"/>
          <w:sz w:val="17"/>
          <w:szCs w:val="17"/>
          <w:color w:val="auto"/>
        </w:rPr>
        <w:t>We have never declared or paid cash dividends. We currently anticipate that all future earnings will be retained to finance the growth of our business and pay down our outstanding debt. We do not expect to declare or pay any cash dividends in the foreseeable future. The payment of dividends in the future is within the discretion of our Board and will depend upon future earnings, capital requirements and other relevant factors.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Authorized for Issuance under Equity Compensation Plans</w:t>
      </w:r>
    </w:p>
    <w:p>
      <w:pPr>
        <w:spacing w:after="0" w:line="157" w:lineRule="exact"/>
        <w:rPr>
          <w:sz w:val="20"/>
          <w:szCs w:val="20"/>
          <w:color w:val="auto"/>
        </w:rPr>
      </w:pPr>
    </w:p>
    <w:p>
      <w:pPr>
        <w:jc w:val="both"/>
        <w:ind w:firstLine="260"/>
        <w:spacing w:after="0" w:line="287" w:lineRule="auto"/>
        <w:rPr>
          <w:sz w:val="20"/>
          <w:szCs w:val="20"/>
          <w:color w:val="auto"/>
        </w:rPr>
      </w:pPr>
      <w:r>
        <w:rPr>
          <w:rFonts w:ascii="Times New Roman" w:cs="Times New Roman" w:eastAsia="Times New Roman" w:hAnsi="Times New Roman"/>
          <w:sz w:val="17"/>
          <w:szCs w:val="17"/>
          <w:color w:val="auto"/>
        </w:rPr>
        <w:t xml:space="preserve">The table setting forth this information is included in </w:t>
      </w:r>
      <w:r>
        <w:rPr>
          <w:rFonts w:ascii="Times New Roman" w:cs="Times New Roman" w:eastAsia="Times New Roman" w:hAnsi="Times New Roman"/>
          <w:sz w:val="17"/>
          <w:szCs w:val="17"/>
          <w:u w:val="single" w:color="auto"/>
          <w:color w:val="0000FF"/>
        </w:rPr>
        <w:t>Part III—Item 12, Security Ownership of Certain Beneficial Owners and Management and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Stockholder Matters</w:t>
      </w:r>
      <w:r>
        <w:rPr>
          <w:rFonts w:ascii="Times New Roman" w:cs="Times New Roman" w:eastAsia="Times New Roman" w:hAnsi="Times New Roman"/>
          <w:sz w:val="17"/>
          <w:szCs w:val="17"/>
          <w:color w:val="000000"/>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Performance Graph</w:t>
      </w:r>
    </w:p>
    <w:p>
      <w:pPr>
        <w:spacing w:after="0" w:line="144"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performance graph shall not be deemed "filed" for purposes of Section 18 of the Exchange Act, or otherwise subject to the liabilities under that Section, and shall not be deemed to be incorporated by reference into any filing of the Company under the Exchange Act or the Securities Act of 1933, as amended.</w:t>
      </w:r>
    </w:p>
    <w:p>
      <w:pPr>
        <w:spacing w:after="0" w:line="30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following line graph compares, from March 31, 2020 through March 31, 2025, the cumulative total shareholder return ("TSR") on our common stock with the cumulative TSR on (1) the stocks comprising the NASDAQ Composite Index, (2) the stocks comprising the S&amp;P 500 Index, and (3) the RDG Technology Composite Index. The comparison assumes $100 was invested on March 31, 2020 in our common stock and in each of the following indices and assumes reinvestment of all cash dividends, if any, paid on such securities. We have not paid any cash dividends and, therefore, our cumulative TSR calculation is based solely upon stock price appreciation and not upon reinvestment of cash dividends. Historical stock price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9" w:name="page40"/>
    <w:bookmarkEnd w:id="39"/>
    <w:p>
      <w:pPr>
        <w:ind w:left="4140"/>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6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Among Take-Two Interactive Software, Inc., the NASDAQ Composite Index,</w:t>
      </w:r>
    </w:p>
    <w:p>
      <w:pPr>
        <w:spacing w:after="0" w:line="6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the S&amp;P 500 Index, and the RDG Technology Composite Index</w:t>
      </w:r>
    </w:p>
    <w:p>
      <w:pPr>
        <w:spacing w:after="0" w:line="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109855</wp:posOffset>
            </wp:positionV>
            <wp:extent cx="5599430" cy="3544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599430" cy="354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graph and chart assume that $100 was invested on March 31, 2020 in the applicable stock or index and that all dividends were reinvested.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4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Take-Two Interactive Software, Inc.</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174.73</w:t>
            </w: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Composite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233.47</w:t>
            </w: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234.58</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RDG Technology Composite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220.69</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53"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7"/>
          <w:szCs w:val="17"/>
          <w:i w:val="1"/>
          <w:iCs w:val="1"/>
          <w:color w:val="auto"/>
        </w:rPr>
        <w:t>Share Repurchase Program</w:t>
      </w:r>
      <w:r>
        <w:rPr>
          <w:rFonts w:ascii="Times New Roman" w:cs="Times New Roman" w:eastAsia="Times New Roman" w:hAnsi="Times New Roman"/>
          <w:sz w:val="17"/>
          <w:szCs w:val="17"/>
          <w:color w:val="auto"/>
        </w:rPr>
        <w:t>—Our Board has authorized the repurchase of up to 21.7 shares of our common stock. Under this program, we may purchase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104" w:lineRule="exact"/>
        <w:rPr>
          <w:sz w:val="20"/>
          <w:szCs w:val="20"/>
          <w:color w:val="auto"/>
        </w:rPr>
      </w:pPr>
    </w:p>
    <w:p>
      <w:pPr>
        <w:jc w:val="both"/>
        <w:ind w:firstLine="173"/>
        <w:spacing w:after="0" w:line="270" w:lineRule="auto"/>
        <w:rPr>
          <w:sz w:val="20"/>
          <w:szCs w:val="20"/>
          <w:color w:val="auto"/>
        </w:rPr>
      </w:pPr>
      <w:r>
        <w:rPr>
          <w:rFonts w:ascii="Times New Roman" w:cs="Times New Roman" w:eastAsia="Times New Roman" w:hAnsi="Times New Roman"/>
          <w:sz w:val="17"/>
          <w:szCs w:val="17"/>
          <w:color w:val="auto"/>
        </w:rPr>
        <w:t>During the fiscal years ended March 31, 2025, 2024, and 2023, we did not repurchase shares of our common stock. As of March 31, 2025, we had repurchased a total of 11.7 shares of our common stock under the program, and 10.0 shares of our common stock remained available for repurchase under the share repurchase program. All of the repurchased shares are classified as Treasury stock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0" w:name="page41"/>
    <w:bookmarkEnd w:id="40"/>
    <w:p>
      <w:pPr>
        <w:ind w:left="180"/>
        <w:spacing w:after="0"/>
        <w:rPr>
          <w:sz w:val="20"/>
          <w:szCs w:val="20"/>
          <w:color w:val="auto"/>
        </w:rPr>
      </w:pPr>
      <w:r>
        <w:rPr>
          <w:rFonts w:ascii="Times New Roman" w:cs="Times New Roman" w:eastAsia="Times New Roman" w:hAnsi="Times New Roman"/>
          <w:sz w:val="17"/>
          <w:szCs w:val="17"/>
          <w:i w:val="1"/>
          <w:iCs w:val="1"/>
          <w:color w:val="auto"/>
        </w:rPr>
        <w:t>Summary Table</w:t>
      </w:r>
      <w:r>
        <w:rPr>
          <w:rFonts w:ascii="Times New Roman" w:cs="Times New Roman" w:eastAsia="Times New Roman" w:hAnsi="Times New Roman"/>
          <w:sz w:val="17"/>
          <w:szCs w:val="17"/>
          <w:color w:val="auto"/>
        </w:rPr>
        <w:t>—The table below details the share repurchases that were made by us during the three months ended March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840" w:type="dxa"/>
            <w:vAlign w:val="bottom"/>
            <w:vMerge w:val="restart"/>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 price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Total number of shares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Maximum number of shares that</w:t>
            </w:r>
          </w:p>
        </w:tc>
        <w:tc>
          <w:tcPr>
            <w:tcW w:w="0" w:type="dxa"/>
            <w:vAlign w:val="bottom"/>
          </w:tcPr>
          <w:p>
            <w:pPr>
              <w:spacing w:after="0"/>
              <w:rPr>
                <w:sz w:val="1"/>
                <w:szCs w:val="1"/>
                <w:color w:val="auto"/>
              </w:rPr>
            </w:pPr>
          </w:p>
        </w:tc>
      </w:tr>
      <w:tr>
        <w:trPr>
          <w:trHeight w:val="140"/>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5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purchased as part of publicly</w:t>
            </w:r>
          </w:p>
        </w:tc>
        <w:tc>
          <w:tcPr>
            <w:tcW w:w="2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may yet be purchased under the</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84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6"/>
              </w:rPr>
              <w:t>purchased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announced plans or programs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repurchase program</w:t>
            </w:r>
          </w:p>
        </w:tc>
        <w:tc>
          <w:tcPr>
            <w:tcW w:w="0" w:type="dxa"/>
            <w:vAlign w:val="bottom"/>
          </w:tcPr>
          <w:p>
            <w:pPr>
              <w:spacing w:after="0"/>
              <w:rPr>
                <w:sz w:val="1"/>
                <w:szCs w:val="1"/>
                <w:color w:val="auto"/>
              </w:rPr>
            </w:pPr>
          </w:p>
        </w:tc>
      </w:tr>
      <w:tr>
        <w:trPr>
          <w:trHeight w:val="217"/>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1 - 31, 2025</w:t>
            </w: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1 - 28, 2025</w:t>
            </w:r>
          </w:p>
        </w:tc>
        <w:tc>
          <w:tcPr>
            <w:tcW w:w="8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252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1 - 31, 2025</w:t>
            </w: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252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7"/>
                <w:szCs w:val="17"/>
                <w:color w:val="auto"/>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5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w:t>
      </w:r>
    </w:p>
    <w:p>
      <w:pPr>
        <w:spacing w:after="0" w:line="159" w:lineRule="exact"/>
        <w:rPr>
          <w:sz w:val="20"/>
          <w:szCs w:val="20"/>
          <w:color w:val="auto"/>
        </w:rPr>
      </w:pPr>
    </w:p>
    <w:p>
      <w:pPr>
        <w:jc w:val="both"/>
        <w:ind w:firstLine="222"/>
        <w:spacing w:after="0" w:line="264" w:lineRule="auto"/>
        <w:rPr>
          <w:sz w:val="20"/>
          <w:szCs w:val="20"/>
          <w:color w:val="auto"/>
        </w:rPr>
      </w:pPr>
      <w:r>
        <w:rPr>
          <w:rFonts w:ascii="Times New Roman" w:cs="Times New Roman" w:eastAsia="Times New Roman" w:hAnsi="Times New Roman"/>
          <w:sz w:val="17"/>
          <w:szCs w:val="17"/>
          <w:color w:val="auto"/>
        </w:rPr>
        <w:t xml:space="preserve">We are a leading developer, publisher, and marketer of interactive entertainment for consumers around the globe. We develop, operate, and publish products principally through Rockstar Games, 2K, and Zynga. Our products are currently designed for console gaming systems, mobile, including smartphones and tablets, and PC. We deliver our products through physical retail, digital download, online platforms, and cloud streaming services. Refer to </w:t>
      </w:r>
      <w:r>
        <w:rPr>
          <w:rFonts w:ascii="Times New Roman" w:cs="Times New Roman" w:eastAsia="Times New Roman" w:hAnsi="Times New Roman"/>
          <w:sz w:val="17"/>
          <w:szCs w:val="17"/>
          <w:u w:val="single" w:color="auto"/>
          <w:color w:val="0000FF"/>
        </w:rPr>
        <w:t>Item 1 - Business</w:t>
      </w:r>
      <w:r>
        <w:rPr>
          <w:rFonts w:ascii="Times New Roman" w:cs="Times New Roman" w:eastAsia="Times New Roman" w:hAnsi="Times New Roman"/>
          <w:sz w:val="17"/>
          <w:szCs w:val="17"/>
          <w:color w:val="auto"/>
        </w:rPr>
        <w:t xml:space="preserve"> for additional discussion.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Impairments</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During the fiscal year ended March 31, 2025, we recognized Goodwill impairment charges of $3,545.2, representing a partial impairment related to one of our reporting units, and we recognized impairment charges of $137.0 for acquisition-related Developed Game Technology intangible assets within Cost of revenue and $39.3 for acquisition-related Branding and Trade Names intangible assets within Depreciation and amortization. The impairment charges are a result of a reduction in the forecasted performance of certain games due to industry conditions and changes in our strategies in response to those conditions. Key assumptions and estimates used in deriving the fair values of these assets are forecasted revenue, EBITDA margins, long-term decay rate, and discount rate (refer to </w:t>
      </w:r>
      <w:r>
        <w:rPr>
          <w:rFonts w:ascii="Times New Roman" w:cs="Times New Roman" w:eastAsia="Times New Roman" w:hAnsi="Times New Roman"/>
          <w:sz w:val="17"/>
          <w:szCs w:val="17"/>
          <w:u w:val="single" w:color="auto"/>
          <w:color w:val="0000FF"/>
        </w:rPr>
        <w:t>Note 9 -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Goodwill and Intangible Assets, Net</w:t>
      </w:r>
      <w:r>
        <w:rPr>
          <w:rFonts w:ascii="Times New Roman" w:cs="Times New Roman" w:eastAsia="Times New Roman" w:hAnsi="Times New Roman"/>
          <w:sz w:val="17"/>
          <w:szCs w:val="17"/>
          <w:color w:val="000000"/>
        </w:rPr>
        <w:t>). Future changes in those key assumptions and estimates could result in additional impairments.</w:t>
      </w:r>
    </w:p>
    <w:p>
      <w:pPr>
        <w:spacing w:after="0" w:line="10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During the fiscal year ended March 31, 2025, we also recognized impairment charges related to our Software development costs and licenses of $77.5, of which $35.1 related to title cancellations as part of our cost reduction program (refer to </w:t>
      </w:r>
      <w:r>
        <w:rPr>
          <w:rFonts w:ascii="Times New Roman" w:cs="Times New Roman" w:eastAsia="Times New Roman" w:hAnsi="Times New Roman"/>
          <w:sz w:val="17"/>
          <w:szCs w:val="17"/>
          <w:u w:val="single" w:color="auto"/>
          <w:color w:val="0000FF"/>
        </w:rPr>
        <w:t>Note 7 - Software Development Costs and Licenses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21 -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Reorganization)</w:t>
      </w:r>
      <w:r>
        <w:rPr>
          <w:rFonts w:ascii="Times New Roman" w:cs="Times New Roman" w:eastAsia="Times New Roman" w:hAnsi="Times New Roman"/>
          <w:sz w:val="17"/>
          <w:szCs w:val="17"/>
          <w:color w:val="000000"/>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Trends and Factors Affecting our Business</w:t>
      </w:r>
    </w:p>
    <w:p>
      <w:pPr>
        <w:spacing w:after="0" w:line="142"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Product Release Schedule. </w:t>
      </w:r>
      <w:r>
        <w:rPr>
          <w:rFonts w:ascii="Times New Roman" w:cs="Times New Roman" w:eastAsia="Times New Roman" w:hAnsi="Times New Roman"/>
          <w:sz w:val="17"/>
          <w:szCs w:val="17"/>
          <w:color w:val="auto"/>
        </w:rPr>
        <w:t>Our financial results are affected by the timing of our product releases and the commercial success of our titles. Generally,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significant portion of our revenue has been derived from a few popular franchises, particularly around new releases within those franchises, some of which have annual or biennial releases. Additionally, 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products in particular have historically accounted for a significant portion of our revenue. Sales of </w:t>
      </w:r>
      <w:r>
        <w:rPr>
          <w:rFonts w:ascii="Times New Roman" w:cs="Times New Roman" w:eastAsia="Times New Roman" w:hAnsi="Times New Roman"/>
          <w:sz w:val="17"/>
          <w:szCs w:val="17"/>
          <w:i w:val="1"/>
          <w:iCs w:val="1"/>
          <w:color w:val="auto"/>
        </w:rPr>
        <w:t xml:space="preserve">Grand Theft Auto </w:t>
      </w:r>
      <w:r>
        <w:rPr>
          <w:rFonts w:ascii="Times New Roman" w:cs="Times New Roman" w:eastAsia="Times New Roman" w:hAnsi="Times New Roman"/>
          <w:sz w:val="17"/>
          <w:szCs w:val="17"/>
          <w:color w:val="auto"/>
        </w:rPr>
        <w:t>products generated 12.6% of our net revenue for the fiscal year ended March 31, 2025. The timing of our</w:t>
      </w:r>
      <w:r>
        <w:rPr>
          <w:rFonts w:ascii="Times New Roman" w:cs="Times New Roman" w:eastAsia="Times New Roman" w:hAnsi="Times New Roman"/>
          <w:sz w:val="17"/>
          <w:szCs w:val="17"/>
          <w:i w:val="1"/>
          <w:iCs w:val="1"/>
          <w:color w:val="auto"/>
        </w:rPr>
        <w:t xml:space="preserve"> Grand Theft Auto </w:t>
      </w:r>
      <w:r>
        <w:rPr>
          <w:rFonts w:ascii="Times New Roman" w:cs="Times New Roman" w:eastAsia="Times New Roman" w:hAnsi="Times New Roman"/>
          <w:sz w:val="17"/>
          <w:szCs w:val="17"/>
          <w:color w:val="auto"/>
        </w:rPr>
        <w:t>product releases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affect our financial performance on a quarterly and annual basis.</w:t>
      </w:r>
    </w:p>
    <w:p>
      <w:pPr>
        <w:spacing w:after="0" w:line="106" w:lineRule="exact"/>
        <w:rPr>
          <w:sz w:val="20"/>
          <w:szCs w:val="20"/>
          <w:color w:val="auto"/>
        </w:rPr>
      </w:pPr>
    </w:p>
    <w:p>
      <w:pPr>
        <w:jc w:val="both"/>
        <w:ind w:firstLine="19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Economic Environment and Retailer Performance. </w:t>
      </w:r>
      <w:r>
        <w:rPr>
          <w:rFonts w:ascii="Times New Roman" w:cs="Times New Roman" w:eastAsia="Times New Roman" w:hAnsi="Times New Roman"/>
          <w:sz w:val="17"/>
          <w:szCs w:val="17"/>
          <w:color w:val="auto"/>
        </w:rPr>
        <w:t>We continue to monitor various macroeconomic and geopolitical factors, such as global tariff policy,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affect our business in several areas, including consumer demand, inflation, pricing pressure on our products, credit quality of our receivables, and foreign currency exchange rates. Actions we have taken to date and other potential actions we may take in the future in response to these factors could result in negative impacts in future periods.</w:t>
      </w:r>
    </w:p>
    <w:p>
      <w:pPr>
        <w:spacing w:after="0" w:line="10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economic environment has affected our customers in the past and may do so in the future. There has been increased consolidation in our industry, as larger, better capitalized competitors will be in a stronger position to withstand prolonged periods of economic downturn and sustain their business through the financial volatility. Also, bankruptcies or consolidations of our large retail customers could seriously hurt our business, due to uncollectible accounts receivable and the concentration of purchasing power among the remaining large retailers.</w:t>
      </w:r>
    </w:p>
    <w:p>
      <w:pPr>
        <w:spacing w:after="0" w:line="90" w:lineRule="exact"/>
        <w:rPr>
          <w:sz w:val="20"/>
          <w:szCs w:val="20"/>
          <w:color w:val="auto"/>
        </w:rPr>
      </w:pPr>
    </w:p>
    <w:p>
      <w:pPr>
        <w:jc w:val="both"/>
        <w:ind w:firstLine="203"/>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Hardware Platforms. </w:t>
      </w:r>
      <w:r>
        <w:rPr>
          <w:rFonts w:ascii="Times New Roman" w:cs="Times New Roman" w:eastAsia="Times New Roman" w:hAnsi="Times New Roman"/>
          <w:sz w:val="17"/>
          <w:szCs w:val="17"/>
          <w:color w:val="auto"/>
        </w:rPr>
        <w:t>We derive a substantial portion of our revenue from the sale of products made for video game consoles manufactured by third parties.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console revenue comprised 37.3% of our net revenue by product platform for the fiscal year ended March 31, 2025. The success of our business is dependent upon consumer acceptance of these platforms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7"/>
          <w:szCs w:val="17"/>
          <w:color w:val="auto"/>
        </w:rPr>
        <w:t>the continued growth in the installed base of these platforms, which could be impacted by global economic factors, including global tariff policy. When new hardware platforms are introduced, demand for interactive entertainment developed for older platforms typically declines, which may negatively affect our business during the market transition to the new consoles. The latest Sony and Microsoft consoles provide "backwards compatibility" (i.e., the ability to play games for the previous generation of consoles). The inclusion of such features on new consoles could mitigate the risk of such a decline. However, we cannot be certain how backwards compatibility will affect demand for our products. Further, events beyond our control may impact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for these platforms is to focus our development efforts on a select number of the highest quality titles.</w:t>
      </w:r>
    </w:p>
    <w:p>
      <w:pPr>
        <w:spacing w:after="0" w:line="107"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Online Content and Digital Distribution. </w:t>
      </w:r>
      <w:r>
        <w:rPr>
          <w:rFonts w:ascii="Times New Roman" w:cs="Times New Roman" w:eastAsia="Times New Roman" w:hAnsi="Times New Roman"/>
          <w:sz w:val="17"/>
          <w:szCs w:val="17"/>
          <w:color w:val="auto"/>
        </w:rPr>
        <w:t>We provide a variety of online delivered products, including direct digital downloads of our titles, and access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offerings through virtual currency, add-on content, in-game purchases, and in-game advertising, which drive ongoing engagement and incremental revenue from recurrent consumer spending on our titles. Net revenue from digital online channels comprised 96.4% of our net revenue for the fiscal year ended March 31, 2025. We expect online delivery of games and game offerings to continue to be the primary part of our business over the long term.</w:t>
      </w:r>
    </w:p>
    <w:p>
      <w:pPr>
        <w:spacing w:after="0" w:line="10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significant portion of our mobile titles are distributed, marketed, and promoted through third parties, primarily Apple’s App Store and the Google Play Store. Virtual items for our mobile games are purchased principally through the payment processing systems of these platform providers, as well as our direct-to-consumer commerce platform. We generate a significant portion of our net revenue through the Apple and Google platforms and expect to continue to do so for the foreseeable future. Apple and Google generally have the discretion to set the amounts of their platform fees and change their platforms’ terms of service and other policies with respect to us or other developers at their sole discretion, and those changes may be unfavorable to us. These platform fees are recorded as cost of revenue as incurred. Further, as a result of the platform fees associated with online game sales, our mobile net revenue generally generates a lower gross margin percentage than our Console or PC revenue. Accordingly, the overall product mix between mobile and other game sales may affect our gross margin percentage. We are also continuing to expand our direct-to-consumer efforts more meaningfully across our mobile portfolio to enhance profitability.</w:t>
      </w:r>
    </w:p>
    <w:p>
      <w:pPr>
        <w:spacing w:after="0" w:line="9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Player acquisition costs. </w:t>
      </w:r>
      <w:r>
        <w:rPr>
          <w:rFonts w:ascii="Times New Roman" w:cs="Times New Roman" w:eastAsia="Times New Roman" w:hAnsi="Times New Roman"/>
          <w:sz w:val="17"/>
          <w:szCs w:val="17"/>
          <w:color w:val="auto"/>
        </w:rPr>
        <w:t>Principally for our mobile titles, we use advertising and other forms of player acquisition and retention to grow and retain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player audience. These expenditures, which are recorded within Sales and marketing in our Consolidated Statements of Operations, generally relate to the promotion of new game launches and ongoing performance-based programs to drive new player acquisition and lapsed player reactivation. Over time, the effectiveness or cost of these acquisition and retention-related programs may change, affecting our operating results.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Content Release Highlights</w:t>
      </w:r>
    </w:p>
    <w:p>
      <w:pPr>
        <w:spacing w:after="0" w:line="15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During fiscal year 2025, 2K released </w:t>
      </w:r>
      <w:r>
        <w:rPr>
          <w:rFonts w:ascii="Times New Roman" w:cs="Times New Roman" w:eastAsia="Times New Roman" w:hAnsi="Times New Roman"/>
          <w:sz w:val="17"/>
          <w:szCs w:val="17"/>
          <w:i w:val="1"/>
          <w:iCs w:val="1"/>
          <w:color w:val="auto"/>
        </w:rPr>
        <w:t>NBA 2K25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TopSpin 2K25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Sid Meier's Civilization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PGA TOUR 2K25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WWE 2K25</w:t>
      </w:r>
      <w:r>
        <w:rPr>
          <w:rFonts w:ascii="Times New Roman" w:cs="Times New Roman" w:eastAsia="Times New Roman" w:hAnsi="Times New Roman"/>
          <w:sz w:val="17"/>
          <w:szCs w:val="17"/>
          <w:color w:val="auto"/>
        </w:rPr>
        <w:t xml:space="preserve">, and Zynga released </w:t>
      </w:r>
      <w:r>
        <w:rPr>
          <w:rFonts w:ascii="Times New Roman" w:cs="Times New Roman" w:eastAsia="Times New Roman" w:hAnsi="Times New Roman"/>
          <w:sz w:val="17"/>
          <w:szCs w:val="17"/>
          <w:i w:val="1"/>
          <w:iCs w:val="1"/>
          <w:color w:val="auto"/>
        </w:rPr>
        <w:t>Game of Thrones: Legends</w:t>
      </w:r>
      <w:r>
        <w:rPr>
          <w:rFonts w:ascii="Times New Roman" w:cs="Times New Roman" w:eastAsia="Times New Roman" w:hAnsi="Times New Roman"/>
          <w:sz w:val="17"/>
          <w:szCs w:val="17"/>
          <w:color w:val="auto"/>
        </w:rPr>
        <w:t>. Rockstar plans to release</w:t>
      </w:r>
      <w:r>
        <w:rPr>
          <w:rFonts w:ascii="Times New Roman" w:cs="Times New Roman" w:eastAsia="Times New Roman" w:hAnsi="Times New Roman"/>
          <w:sz w:val="17"/>
          <w:szCs w:val="17"/>
          <w:i w:val="1"/>
          <w:iCs w:val="1"/>
          <w:color w:val="auto"/>
        </w:rPr>
        <w:t xml:space="preserve"> Grand Theft Auto VI </w:t>
      </w:r>
      <w:r>
        <w:rPr>
          <w:rFonts w:ascii="Times New Roman" w:cs="Times New Roman" w:eastAsia="Times New Roman" w:hAnsi="Times New Roman"/>
          <w:sz w:val="17"/>
          <w:szCs w:val="17"/>
          <w:color w:val="auto"/>
        </w:rPr>
        <w:t>on May 26,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2025 Financial Summary</w:t>
      </w:r>
    </w:p>
    <w:p>
      <w:pPr>
        <w:spacing w:after="0" w:line="15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Our net revenue for the fiscal year ended March 31, 2025 was led by a variety of our top franchises, primarily </w:t>
      </w:r>
      <w:r>
        <w:rPr>
          <w:rFonts w:ascii="Times New Roman" w:cs="Times New Roman" w:eastAsia="Times New Roman" w:hAnsi="Times New Roman"/>
          <w:sz w:val="17"/>
          <w:szCs w:val="17"/>
          <w:i w:val="1"/>
          <w:iCs w:val="1"/>
          <w:color w:val="auto"/>
        </w:rPr>
        <w:t>NBA 2K, Grand Theft Auto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Red Dead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Redemption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WWE 2K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Sid Meier's Civilization, </w:t>
      </w:r>
      <w:r>
        <w:rPr>
          <w:rFonts w:ascii="Times New Roman" w:cs="Times New Roman" w:eastAsia="Times New Roman" w:hAnsi="Times New Roman"/>
          <w:sz w:val="17"/>
          <w:szCs w:val="17"/>
          <w:color w:val="auto"/>
        </w:rPr>
        <w:t>as well as top contributors</w:t>
      </w:r>
      <w:r>
        <w:rPr>
          <w:rFonts w:ascii="Times New Roman" w:cs="Times New Roman" w:eastAsia="Times New Roman" w:hAnsi="Times New Roman"/>
          <w:sz w:val="17"/>
          <w:szCs w:val="17"/>
          <w:i w:val="1"/>
          <w:iCs w:val="1"/>
          <w:color w:val="auto"/>
        </w:rPr>
        <w:t xml:space="preserve"> Toon Blast</w:t>
      </w:r>
      <w:r>
        <w:rPr>
          <w:rFonts w:ascii="Times New Roman" w:cs="Times New Roman" w:eastAsia="Times New Roman" w:hAnsi="Times New Roman"/>
          <w:sz w:val="17"/>
          <w:szCs w:val="17"/>
          <w:color w:val="auto"/>
        </w:rPr>
        <w:t>, our hyper-casual mobile portfolio,</w:t>
      </w:r>
      <w:r>
        <w:rPr>
          <w:rFonts w:ascii="Times New Roman" w:cs="Times New Roman" w:eastAsia="Times New Roman" w:hAnsi="Times New Roman"/>
          <w:sz w:val="17"/>
          <w:szCs w:val="17"/>
          <w:i w:val="1"/>
          <w:iCs w:val="1"/>
          <w:color w:val="auto"/>
        </w:rPr>
        <w:t xml:space="preserve"> Empires &amp; Puzzles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Match Factory!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Words With Friends.</w:t>
      </w:r>
      <w:r>
        <w:rPr>
          <w:rFonts w:ascii="Times New Roman" w:cs="Times New Roman" w:eastAsia="Times New Roman" w:hAnsi="Times New Roman"/>
          <w:sz w:val="17"/>
          <w:szCs w:val="17"/>
          <w:color w:val="auto"/>
        </w:rPr>
        <w:t xml:space="preserve"> Our net revenue for the fiscal year ended March 31, 2025 was $5,633.6, an increase of $284.0 or 5.3% compared to the fiscal year ended March 31, 2024.</w:t>
      </w:r>
    </w:p>
    <w:p>
      <w:pPr>
        <w:spacing w:after="0" w:line="104" w:lineRule="exact"/>
        <w:rPr>
          <w:sz w:val="20"/>
          <w:szCs w:val="20"/>
          <w:color w:val="auto"/>
        </w:rPr>
      </w:pPr>
    </w:p>
    <w:p>
      <w:pPr>
        <w:jc w:val="both"/>
        <w:ind w:firstLine="261"/>
        <w:spacing w:after="0" w:line="264" w:lineRule="auto"/>
        <w:rPr>
          <w:sz w:val="20"/>
          <w:szCs w:val="20"/>
          <w:color w:val="auto"/>
        </w:rPr>
      </w:pPr>
      <w:r>
        <w:rPr>
          <w:rFonts w:ascii="Times New Roman" w:cs="Times New Roman" w:eastAsia="Times New Roman" w:hAnsi="Times New Roman"/>
          <w:sz w:val="17"/>
          <w:szCs w:val="17"/>
          <w:color w:val="auto"/>
        </w:rPr>
        <w:t>Our operating loss for the fiscal year ended March 31, 2025 was $4,391.1 compared to operating loss of $3,590.6 for fiscal year ended March 31, 2024, primarily due to an increase in Goodwill impairment charges of $1,203.1 related to an additional partial impairment related to one of our reporting units. For the fiscal year ended March 31, 2025, our net loss was $4,478.9, as compared to net loss of $3,744.2 in the prior year. Diluted loss per share for the fiscal year ended March 31, 2025 was $25.58, as compared to Diluted loss per share of $22.01 for the fiscal year ended March 31, 2024.</w:t>
      </w:r>
    </w:p>
    <w:p>
      <w:pPr>
        <w:spacing w:after="0" w:line="94" w:lineRule="exact"/>
        <w:rPr>
          <w:sz w:val="20"/>
          <w:szCs w:val="20"/>
          <w:color w:val="auto"/>
        </w:rPr>
      </w:pPr>
    </w:p>
    <w:p>
      <w:pPr>
        <w:jc w:val="both"/>
        <w:ind w:firstLine="173"/>
        <w:spacing w:after="0" w:line="263" w:lineRule="auto"/>
        <w:rPr>
          <w:sz w:val="20"/>
          <w:szCs w:val="20"/>
          <w:color w:val="auto"/>
        </w:rPr>
      </w:pPr>
      <w:r>
        <w:rPr>
          <w:rFonts w:ascii="Times New Roman" w:cs="Times New Roman" w:eastAsia="Times New Roman" w:hAnsi="Times New Roman"/>
          <w:sz w:val="17"/>
          <w:szCs w:val="17"/>
          <w:color w:val="auto"/>
        </w:rPr>
        <w:t xml:space="preserve">At March 31, 2025, we had $1,559.2 of Cash, cash equivalents, and restricted cash and cash equivalents, compared to $1,102.0 at March 31, 2024. The increase was primarily due to Net cash provided by financing activities, primarily related to proceeds from the issuance of our 2029 Notes and 2034 Notes (refer to </w:t>
      </w:r>
      <w:r>
        <w:rPr>
          <w:rFonts w:ascii="Times New Roman" w:cs="Times New Roman" w:eastAsia="Times New Roman" w:hAnsi="Times New Roman"/>
          <w:sz w:val="17"/>
          <w:szCs w:val="17"/>
          <w:u w:val="single" w:color="auto"/>
          <w:color w:val="0000FF"/>
        </w:rPr>
        <w:t>Note 11</w:t>
      </w:r>
    </w:p>
    <w:p>
      <w:pPr>
        <w:spacing w:after="0" w:line="1" w:lineRule="exact"/>
        <w:rPr>
          <w:sz w:val="20"/>
          <w:szCs w:val="20"/>
          <w:color w:val="auto"/>
        </w:rPr>
      </w:pPr>
    </w:p>
    <w:p>
      <w:pPr>
        <w:jc w:val="both"/>
        <w:ind w:firstLine="3"/>
        <w:spacing w:after="0" w:line="259" w:lineRule="auto"/>
        <w:tabs>
          <w:tab w:leader="none" w:pos="100" w:val="left"/>
        </w:tabs>
        <w:numPr>
          <w:ilvl w:val="0"/>
          <w:numId w:val="1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000000"/>
        </w:rPr>
        <w:t>) and the issuance of common stock. This increase was partially offset by (i) Net cash used in investing activities, which was primarily due to the purchase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fixed assets and (ii) Net cash used in operating activities, which was primarily due to investments in software development and licenses, partially offset by sales of our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color w:val="auto"/>
        </w:rPr>
        <w:t>On June 11, 2024, we completed the purchase of 100% of the issued and outstanding capital stock of The Gearbox Entertainment Company,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("Gearbox"), from Embracer Group AB, for an initial consideration of 2.8 shares of our common stock (refer to </w:t>
      </w:r>
      <w:r>
        <w:rPr>
          <w:rFonts w:ascii="Times New Roman" w:cs="Times New Roman" w:eastAsia="Times New Roman" w:hAnsi="Times New Roman"/>
          <w:sz w:val="17"/>
          <w:szCs w:val="17"/>
          <w:u w:val="single" w:color="auto"/>
          <w:color w:val="0000FF"/>
        </w:rPr>
        <w:t>Note 20 - Acquisitions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ind w:firstLine="192"/>
        <w:spacing w:after="0" w:line="264" w:lineRule="auto"/>
        <w:rPr>
          <w:sz w:val="20"/>
          <w:szCs w:val="20"/>
          <w:color w:val="auto"/>
        </w:rPr>
      </w:pPr>
      <w:r>
        <w:rPr>
          <w:rFonts w:ascii="Times New Roman" w:cs="Times New Roman" w:eastAsia="Times New Roman" w:hAnsi="Times New Roman"/>
          <w:sz w:val="17"/>
          <w:szCs w:val="17"/>
          <w:color w:val="auto"/>
        </w:rPr>
        <w:t xml:space="preserve">Our most critical accounting policies, which are those that require significant judgment, include revenue recognition, capitalization and recognition of software development costs and licenses, fair value estimates including valuation of goodwill and intangible assets, valuation and recognition of stock-based compensation, and income taxes. See </w:t>
      </w:r>
      <w:r>
        <w:rPr>
          <w:rFonts w:ascii="Times New Roman" w:cs="Times New Roman" w:eastAsia="Times New Roman" w:hAnsi="Times New Roman"/>
          <w:sz w:val="17"/>
          <w:szCs w:val="17"/>
          <w:u w:val="single" w:color="auto"/>
          <w:color w:val="0000FF"/>
        </w:rPr>
        <w:t>Note 1 - Basis of Presentation and Significant Accounting Policies</w:t>
      </w:r>
      <w:r>
        <w:rPr>
          <w:rFonts w:ascii="Times New Roman" w:cs="Times New Roman" w:eastAsia="Times New Roman" w:hAnsi="Times New Roman"/>
          <w:sz w:val="17"/>
          <w:szCs w:val="17"/>
          <w:color w:val="auto"/>
        </w:rPr>
        <w:t xml:space="preserve"> in the Notes to our Consolidated Financial Statements in this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and Recently Issued Accounting Pronouncements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u w:val="single" w:color="auto"/>
          <w:color w:val="0000FF"/>
        </w:rPr>
        <w:t>Note 1 - Basis of Presentation and Significant Accounting Policies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Metric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Bookings</w:t>
      </w:r>
    </w:p>
    <w:p>
      <w:pPr>
        <w:spacing w:after="0" w:line="159" w:lineRule="exact"/>
        <w:rPr>
          <w:sz w:val="20"/>
          <w:szCs w:val="20"/>
          <w:color w:val="auto"/>
        </w:rPr>
      </w:pPr>
    </w:p>
    <w:p>
      <w:pPr>
        <w:jc w:val="both"/>
        <w:ind w:firstLine="194"/>
        <w:spacing w:after="0" w:line="263" w:lineRule="auto"/>
        <w:rPr>
          <w:sz w:val="20"/>
          <w:szCs w:val="20"/>
          <w:color w:val="auto"/>
        </w:rPr>
      </w:pPr>
      <w:r>
        <w:rPr>
          <w:rFonts w:ascii="Times New Roman" w:cs="Times New Roman" w:eastAsia="Times New Roman" w:hAnsi="Times New Roman"/>
          <w:sz w:val="17"/>
          <w:szCs w:val="17"/>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incentives.</w:t>
            </w:r>
          </w:p>
        </w:tc>
        <w:tc>
          <w:tcPr>
            <w:tcW w:w="13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Net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Bookings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were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w:t>
            </w:r>
          </w:p>
        </w:tc>
        <w:tc>
          <w:tcPr>
            <w:tcW w:w="2160" w:type="dxa"/>
            <w:vAlign w:val="bottom"/>
            <w:gridSpan w:val="2"/>
          </w:tcPr>
          <w:p>
            <w:pPr>
              <w:ind w:left="1580"/>
              <w:spacing w:after="0"/>
              <w:rPr>
                <w:sz w:val="20"/>
                <w:szCs w:val="20"/>
                <w:color w:val="auto"/>
              </w:rPr>
            </w:pPr>
            <w:r>
              <w:rPr>
                <w:rFonts w:ascii="Times New Roman" w:cs="Times New Roman" w:eastAsia="Times New Roman" w:hAnsi="Times New Roman"/>
                <w:sz w:val="17"/>
                <w:szCs w:val="17"/>
                <w:color w:val="auto"/>
              </w:rPr>
              <w:t>follows:</w:t>
            </w:r>
          </w:p>
        </w:tc>
      </w:tr>
      <w:tr>
        <w:trPr>
          <w:trHeight w:val="228"/>
        </w:trPr>
        <w:tc>
          <w:tcPr>
            <w:tcW w:w="21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9"/>
              </w:rPr>
              <w:t>Fiscal Year Ended March 31,</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2120" w:type="dxa"/>
            <w:vAlign w:val="bottom"/>
          </w:tcPr>
          <w:p>
            <w:pPr>
              <w:spacing w:after="0"/>
              <w:rPr>
                <w:sz w:val="18"/>
                <w:szCs w:val="18"/>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2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Increase/(decrease) %</w:t>
            </w:r>
          </w:p>
        </w:tc>
        <w:tc>
          <w:tcPr>
            <w:tcW w:w="40" w:type="dxa"/>
            <w:vAlign w:val="bottom"/>
          </w:tcPr>
          <w:p>
            <w:pPr>
              <w:spacing w:after="0"/>
              <w:rPr>
                <w:sz w:val="18"/>
                <w:szCs w:val="18"/>
                <w:color w:val="auto"/>
              </w:rPr>
            </w:pPr>
          </w:p>
        </w:tc>
      </w:tr>
      <w:tr>
        <w:trPr>
          <w:trHeight w:val="212"/>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Bookings</w:t>
            </w:r>
          </w:p>
        </w:tc>
        <w:tc>
          <w:tcPr>
            <w:tcW w:w="1360" w:type="dxa"/>
            <w:vAlign w:val="bottom"/>
            <w:tcBorders>
              <w:top w:val="single" w:sz="8" w:color="auto"/>
            </w:tcBorders>
            <w:shd w:val="clear" w:color="auto" w:fill="CCEEFF"/>
          </w:tcPr>
          <w:p>
            <w:pPr>
              <w:jc w:val="right"/>
              <w:ind w:right="1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5,648.0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5,333.0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40" w:type="dxa"/>
            <w:vAlign w:val="bottom"/>
          </w:tcPr>
          <w:p>
            <w:pPr>
              <w:spacing w:after="0"/>
              <w:rPr>
                <w:sz w:val="18"/>
                <w:szCs w:val="18"/>
                <w:color w:val="auto"/>
              </w:rPr>
            </w:pPr>
          </w:p>
        </w:tc>
      </w:tr>
    </w:tbl>
    <w:p>
      <w:pPr>
        <w:spacing w:after="0" w:line="203" w:lineRule="exact"/>
        <w:rPr>
          <w:sz w:val="20"/>
          <w:szCs w:val="20"/>
          <w:color w:val="auto"/>
        </w:rPr>
      </w:pPr>
    </w:p>
    <w:p>
      <w:pPr>
        <w:jc w:val="both"/>
        <w:ind w:firstLine="177"/>
        <w:spacing w:after="0" w:line="264" w:lineRule="auto"/>
        <w:rPr>
          <w:sz w:val="20"/>
          <w:szCs w:val="20"/>
          <w:color w:val="auto"/>
        </w:rPr>
      </w:pPr>
      <w:r>
        <w:rPr>
          <w:rFonts w:ascii="Times New Roman" w:cs="Times New Roman" w:eastAsia="Times New Roman" w:hAnsi="Times New Roman"/>
          <w:sz w:val="17"/>
          <w:szCs w:val="17"/>
          <w:color w:val="auto"/>
        </w:rPr>
        <w:t xml:space="preserve">For the fiscal year ended March 31, 2025, Net Bookings increased by $315.0 as compared to the prior year. The increase was primarily due to an increase in Net Bookings from </w:t>
      </w:r>
      <w:r>
        <w:rPr>
          <w:rFonts w:ascii="Times New Roman" w:cs="Times New Roman" w:eastAsia="Times New Roman" w:hAnsi="Times New Roman"/>
          <w:sz w:val="17"/>
          <w:szCs w:val="17"/>
          <w:i w:val="1"/>
          <w:iCs w:val="1"/>
          <w:color w:val="auto"/>
        </w:rPr>
        <w:t>Match Factory!</w:t>
      </w:r>
      <w:r>
        <w:rPr>
          <w:rFonts w:ascii="Times New Roman" w:cs="Times New Roman" w:eastAsia="Times New Roman" w:hAnsi="Times New Roman"/>
          <w:sz w:val="17"/>
          <w:szCs w:val="17"/>
          <w:color w:val="auto"/>
        </w:rPr>
        <w:t xml:space="preserve">;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 the latest installment of which, </w:t>
      </w:r>
      <w:r>
        <w:rPr>
          <w:rFonts w:ascii="Times New Roman" w:cs="Times New Roman" w:eastAsia="Times New Roman" w:hAnsi="Times New Roman"/>
          <w:sz w:val="17"/>
          <w:szCs w:val="17"/>
          <w:i w:val="1"/>
          <w:iCs w:val="1"/>
          <w:color w:val="auto"/>
        </w:rPr>
        <w:t>Civilization VII</w:t>
      </w:r>
      <w:r>
        <w:rPr>
          <w:rFonts w:ascii="Times New Roman" w:cs="Times New Roman" w:eastAsia="Times New Roman" w:hAnsi="Times New Roman"/>
          <w:sz w:val="17"/>
          <w:szCs w:val="17"/>
          <w:color w:val="auto"/>
        </w:rPr>
        <w:t xml:space="preserve">, released in February 2025; </w:t>
      </w:r>
      <w:r>
        <w:rPr>
          <w:rFonts w:ascii="Times New Roman" w:cs="Times New Roman" w:eastAsia="Times New Roman" w:hAnsi="Times New Roman"/>
          <w:sz w:val="17"/>
          <w:szCs w:val="17"/>
          <w:i w:val="1"/>
          <w:iCs w:val="1"/>
          <w:color w:val="auto"/>
        </w:rPr>
        <w:t>Toon Blast</w:t>
      </w:r>
      <w:r>
        <w:rPr>
          <w:rFonts w:ascii="Times New Roman" w:cs="Times New Roman" w:eastAsia="Times New Roman" w:hAnsi="Times New Roman"/>
          <w:sz w:val="17"/>
          <w:szCs w:val="17"/>
          <w:color w:val="auto"/>
        </w:rPr>
        <w:t xml:space="preserve">; our </w:t>
      </w:r>
      <w:r>
        <w:rPr>
          <w:rFonts w:ascii="Times New Roman" w:cs="Times New Roman" w:eastAsia="Times New Roman" w:hAnsi="Times New Roman"/>
          <w:sz w:val="17"/>
          <w:szCs w:val="17"/>
          <w:i w:val="1"/>
          <w:iCs w:val="1"/>
          <w:color w:val="auto"/>
        </w:rPr>
        <w:t xml:space="preserve">NBA 2K </w:t>
      </w:r>
      <w:r>
        <w:rPr>
          <w:rFonts w:ascii="Times New Roman" w:cs="Times New Roman" w:eastAsia="Times New Roman" w:hAnsi="Times New Roman"/>
          <w:sz w:val="17"/>
          <w:szCs w:val="17"/>
          <w:color w:val="auto"/>
        </w:rPr>
        <w:t>franchise; and</w:t>
      </w:r>
      <w:r>
        <w:rPr>
          <w:rFonts w:ascii="Times New Roman" w:cs="Times New Roman" w:eastAsia="Times New Roman" w:hAnsi="Times New Roman"/>
          <w:sz w:val="17"/>
          <w:szCs w:val="17"/>
          <w:i w:val="1"/>
          <w:iCs w:val="1"/>
          <w:color w:val="auto"/>
        </w:rPr>
        <w:t xml:space="preserve"> TopSpin 2K25</w:t>
      </w:r>
      <w:r>
        <w:rPr>
          <w:rFonts w:ascii="Times New Roman" w:cs="Times New Roman" w:eastAsia="Times New Roman" w:hAnsi="Times New Roman"/>
          <w:sz w:val="17"/>
          <w:szCs w:val="17"/>
          <w:color w:val="auto"/>
        </w:rPr>
        <w:t>, which released in April 2024. These increases were partially offset by a decrease in Net Bookings from</w:t>
      </w:r>
      <w:r>
        <w:rPr>
          <w:rFonts w:ascii="Times New Roman" w:cs="Times New Roman" w:eastAsia="Times New Roman" w:hAnsi="Times New Roman"/>
          <w:sz w:val="17"/>
          <w:szCs w:val="17"/>
          <w:i w:val="1"/>
          <w:iCs w:val="1"/>
          <w:color w:val="auto"/>
        </w:rPr>
        <w:t xml:space="preserve"> Empires &amp; Puzzles, </w:t>
      </w: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franchise, our hyper- and hybrid-casual mobile portfolio, and </w:t>
      </w:r>
      <w:r>
        <w:rPr>
          <w:rFonts w:ascii="Times New Roman" w:cs="Times New Roman" w:eastAsia="Times New Roman" w:hAnsi="Times New Roman"/>
          <w:sz w:val="17"/>
          <w:szCs w:val="17"/>
          <w:i w:val="1"/>
          <w:iCs w:val="1"/>
          <w:color w:val="auto"/>
        </w:rPr>
        <w:t>LEGO 2K Drive</w:t>
      </w:r>
      <w:r>
        <w:rPr>
          <w:rFonts w:ascii="Times New Roman" w:cs="Times New Roman" w:eastAsia="Times New Roman" w:hAnsi="Times New Roman"/>
          <w:sz w:val="17"/>
          <w:szCs w:val="17"/>
          <w:color w:val="auto"/>
        </w:rPr>
        <w:t>, which released in May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3" w:lineRule="exact"/>
        <w:rPr>
          <w:sz w:val="20"/>
          <w:szCs w:val="20"/>
          <w:color w:val="auto"/>
        </w:rPr>
      </w:pPr>
    </w:p>
    <w:p>
      <w:pPr>
        <w:jc w:val="both"/>
        <w:ind w:firstLine="619"/>
        <w:spacing w:after="0" w:line="272" w:lineRule="auto"/>
        <w:rPr>
          <w:rFonts w:ascii="Times New Roman" w:cs="Times New Roman" w:eastAsia="Times New Roman" w:hAnsi="Times New Roman"/>
          <w:sz w:val="17"/>
          <w:szCs w:val="17"/>
          <w:i w:val="1"/>
          <w:iCs w:val="1"/>
          <w:color w:val="0000FF"/>
        </w:rPr>
      </w:pPr>
      <w:r>
        <w:rPr>
          <w:rFonts w:ascii="Times New Roman" w:cs="Times New Roman" w:eastAsia="Times New Roman" w:hAnsi="Times New Roman"/>
          <w:sz w:val="17"/>
          <w:szCs w:val="17"/>
          <w:i w:val="1"/>
          <w:iCs w:val="1"/>
          <w:color w:val="auto"/>
        </w:rPr>
        <w:t xml:space="preserve">In this section, we discuss the results of our operations for the fiscal year ended March 31, 2025 compared to the fiscal year ended March 31, 2024. For </w:t>
      </w:r>
      <w:hyperlink r:id="rId55">
        <w:r>
          <w:rPr>
            <w:rFonts w:ascii="Times New Roman" w:cs="Times New Roman" w:eastAsia="Times New Roman" w:hAnsi="Times New Roman"/>
            <w:sz w:val="17"/>
            <w:szCs w:val="17"/>
            <w:i w:val="1"/>
            <w:iCs w:val="1"/>
            <w:color w:val="auto"/>
          </w:rPr>
          <w:t xml:space="preserve">the comparison of fiscal year 2024 to fiscal year 2023, refer to </w:t>
        </w:r>
        <w:r>
          <w:rPr>
            <w:rFonts w:ascii="Times New Roman" w:cs="Times New Roman" w:eastAsia="Times New Roman" w:hAnsi="Times New Roman"/>
            <w:sz w:val="17"/>
            <w:szCs w:val="17"/>
            <w:i w:val="1"/>
            <w:iCs w:val="1"/>
            <w:u w:val="single" w:color="auto"/>
            <w:color w:val="0000FF"/>
          </w:rPr>
          <w:t>Part II, Item 7 “Management’s Discussion and Analysis of Financial Condition and Results of</w:t>
        </w:r>
      </w:hyperlink>
      <w:r>
        <w:rPr>
          <w:rFonts w:ascii="Times New Roman" w:cs="Times New Roman" w:eastAsia="Times New Roman" w:hAnsi="Times New Roman"/>
          <w:sz w:val="17"/>
          <w:szCs w:val="17"/>
          <w:i w:val="1"/>
          <w:iCs w:val="1"/>
          <w:color w:val="auto"/>
        </w:rPr>
        <w:t xml:space="preserve"> </w:t>
      </w:r>
      <w:hyperlink r:id="rId55">
        <w:r>
          <w:rPr>
            <w:rFonts w:ascii="Times New Roman" w:cs="Times New Roman" w:eastAsia="Times New Roman" w:hAnsi="Times New Roman"/>
            <w:sz w:val="17"/>
            <w:szCs w:val="17"/>
            <w:i w:val="1"/>
            <w:iCs w:val="1"/>
            <w:u w:val="single" w:color="auto"/>
            <w:color w:val="0000FF"/>
          </w:rPr>
          <w:t>Operations”</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of our Annual Report on Form 10-K for the year ended March 31,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3" w:name="page44"/>
    <w:bookmarkEnd w:id="43"/>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for the periods indicated, our statements of operations, net revenue by content type, net revenue by platform, and net revenue by distribution channel: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3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5,633.6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5,349.6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2,571.4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45.7 %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7"/>
                <w:szCs w:val="17"/>
                <w:color w:val="auto"/>
              </w:rPr>
              <w:t>3,107.8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58.1 %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3,064.6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3,062.2</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54.3 %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2,241.8</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2,285.3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Selling and marketing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1,683.7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29.9 %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color w:val="auto"/>
              </w:rPr>
              <w:t>1,550.2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1,586.5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1,005.2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948.2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883.3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15.7 %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color w:val="auto"/>
              </w:rPr>
              <w:t>716.1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839.5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229.4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Goodwill impairment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3,545.2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62.9 %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4"/>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 reorganization</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106.5</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7,453.3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132.3 %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color w:val="auto"/>
              </w:rPr>
              <w:t>5,832.4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3,450.5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(4,391.1)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and other, net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(93.3)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fair value adjustments, net</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(4,491.3)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(3,702.8)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(1,338.1)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(4,478.9)</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(3,744.2)</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(1,124.7)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Fiscal Year Ended March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content: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Recurrent consumer spending</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4,474.6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79.4 %</w:t>
            </w:r>
          </w:p>
        </w:tc>
        <w:tc>
          <w:tcPr>
            <w:tcW w:w="8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4,213.5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78.8 %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4,180.4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Full game and other</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1,159.0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platform:</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Mobile</w:t>
            </w: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2,942.0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52.2 %</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Console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2,099.1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37.3 %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2,167.3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PC and other</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distribution channel: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Digital online</w:t>
            </w: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5,431.8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96.4 %</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Physical retail and other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Years ended March 31, 2025 and 2024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455"/>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2600" w:type="dxa"/>
            <w:vAlign w:val="bottom"/>
            <w:gridSpan w:val="1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Increase/(decrease)   Increase/(decrease)</w:t>
            </w:r>
          </w:p>
        </w:tc>
        <w:tc>
          <w:tcPr>
            <w:tcW w:w="0" w:type="dxa"/>
            <w:vAlign w:val="bottom"/>
          </w:tcPr>
          <w:p>
            <w:pPr>
              <w:spacing w:after="0"/>
              <w:rPr>
                <w:sz w:val="1"/>
                <w:szCs w:val="1"/>
                <w:color w:val="auto"/>
              </w:rPr>
            </w:pPr>
          </w:p>
        </w:tc>
      </w:tr>
      <w:tr>
        <w:trPr>
          <w:trHeight w:val="218"/>
        </w:trPr>
        <w:tc>
          <w:tcPr>
            <w:tcW w:w="3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1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Product costs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Game intangibles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1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Internal royalties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Licenses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19.6 %</w:t>
            </w:r>
          </w:p>
        </w:tc>
        <w:tc>
          <w:tcPr>
            <w:tcW w:w="0" w:type="dxa"/>
            <w:vAlign w:val="bottom"/>
          </w:tcPr>
          <w:p>
            <w:pPr>
              <w:spacing w:after="0"/>
              <w:rPr>
                <w:sz w:val="1"/>
                <w:szCs w:val="1"/>
                <w:color w:val="auto"/>
              </w:rPr>
            </w:pPr>
          </w:p>
        </w:tc>
      </w:tr>
      <w:tr>
        <w:trPr>
          <w:trHeight w:val="219"/>
        </w:trPr>
        <w:tc>
          <w:tcPr>
            <w:tcW w:w="3860" w:type="dxa"/>
            <w:vAlign w:val="bottom"/>
            <w:gridSpan w:val="2"/>
          </w:tcPr>
          <w:p>
            <w:pPr>
              <w:ind w:left="120"/>
              <w:spacing w:after="0" w:line="219" w:lineRule="exact"/>
              <w:rPr>
                <w:sz w:val="20"/>
                <w:szCs w:val="20"/>
                <w:color w:val="auto"/>
              </w:rPr>
            </w:pPr>
            <w:r>
              <w:rPr>
                <w:rFonts w:ascii="Times New Roman" w:cs="Times New Roman" w:eastAsia="Times New Roman" w:hAnsi="Times New Roman"/>
                <w:sz w:val="17"/>
                <w:szCs w:val="17"/>
                <w:color w:val="auto"/>
              </w:rPr>
              <w:t>Software development costs and royalties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168.1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(51.5)%</w:t>
            </w:r>
          </w:p>
        </w:tc>
        <w:tc>
          <w:tcPr>
            <w:tcW w:w="0" w:type="dxa"/>
            <w:vAlign w:val="bottom"/>
          </w:tcPr>
          <w:p>
            <w:pPr>
              <w:spacing w:after="0"/>
              <w:rPr>
                <w:sz w:val="1"/>
                <w:szCs w:val="1"/>
                <w:color w:val="auto"/>
              </w:rPr>
            </w:pPr>
          </w:p>
        </w:tc>
      </w:tr>
      <w:tr>
        <w:trPr>
          <w:trHeight w:val="212"/>
        </w:trPr>
        <w:tc>
          <w:tcPr>
            <w:tcW w:w="3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2,571.4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45.7 %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3,107.8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12"/>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3,062.2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54.3 %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2,241.8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36.6 %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40" w:hanging="137"/>
        <w:spacing w:after="0"/>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$9.4 and $24.4 of stock-based compensation expense in fiscal year 2025 and 2024, respectively.</w:t>
      </w:r>
    </w:p>
    <w:p>
      <w:pPr>
        <w:spacing w:after="0" w:line="122" w:lineRule="exact"/>
        <w:rPr>
          <w:sz w:val="20"/>
          <w:szCs w:val="20"/>
          <w:color w:val="auto"/>
        </w:rPr>
      </w:pPr>
    </w:p>
    <w:p>
      <w:pPr>
        <w:jc w:val="both"/>
        <w:ind w:firstLine="194"/>
        <w:spacing w:after="0" w:line="264" w:lineRule="auto"/>
        <w:rPr>
          <w:sz w:val="20"/>
          <w:szCs w:val="20"/>
          <w:color w:val="auto"/>
        </w:rPr>
      </w:pPr>
      <w:r>
        <w:rPr>
          <w:rFonts w:ascii="Times New Roman" w:cs="Times New Roman" w:eastAsia="Times New Roman" w:hAnsi="Times New Roman"/>
          <w:sz w:val="17"/>
          <w:szCs w:val="17"/>
          <w:color w:val="auto"/>
        </w:rPr>
        <w:t xml:space="preserve">For the fiscal year ended March 31, 2025, net revenue increased by $284.0, as compared to the prior year. The increase was primarily due to an increase in net revenue of $237.1 from </w:t>
      </w:r>
      <w:r>
        <w:rPr>
          <w:rFonts w:ascii="Times New Roman" w:cs="Times New Roman" w:eastAsia="Times New Roman" w:hAnsi="Times New Roman"/>
          <w:sz w:val="17"/>
          <w:szCs w:val="17"/>
          <w:i w:val="1"/>
          <w:iCs w:val="1"/>
          <w:color w:val="auto"/>
        </w:rPr>
        <w:t>Match Factory!</w:t>
      </w:r>
      <w:r>
        <w:rPr>
          <w:rFonts w:ascii="Times New Roman" w:cs="Times New Roman" w:eastAsia="Times New Roman" w:hAnsi="Times New Roman"/>
          <w:sz w:val="17"/>
          <w:szCs w:val="17"/>
          <w:color w:val="auto"/>
        </w:rPr>
        <w:t xml:space="preserve">, which released in November 2023; $127.2 from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 the latest installment of which, </w:t>
      </w:r>
      <w:r>
        <w:rPr>
          <w:rFonts w:ascii="Times New Roman" w:cs="Times New Roman" w:eastAsia="Times New Roman" w:hAnsi="Times New Roman"/>
          <w:sz w:val="17"/>
          <w:szCs w:val="17"/>
          <w:i w:val="1"/>
          <w:iCs w:val="1"/>
          <w:color w:val="auto"/>
        </w:rPr>
        <w:t>Civilization VII</w:t>
      </w:r>
      <w:r>
        <w:rPr>
          <w:rFonts w:ascii="Times New Roman" w:cs="Times New Roman" w:eastAsia="Times New Roman" w:hAnsi="Times New Roman"/>
          <w:sz w:val="17"/>
          <w:szCs w:val="17"/>
          <w:color w:val="auto"/>
        </w:rPr>
        <w:t>, released in February 2025; and $84.2 from</w:t>
      </w:r>
      <w:r>
        <w:rPr>
          <w:rFonts w:ascii="Times New Roman" w:cs="Times New Roman" w:eastAsia="Times New Roman" w:hAnsi="Times New Roman"/>
          <w:sz w:val="17"/>
          <w:szCs w:val="17"/>
          <w:i w:val="1"/>
          <w:iCs w:val="1"/>
          <w:color w:val="auto"/>
        </w:rPr>
        <w:t xml:space="preserve"> Toon Blast</w:t>
      </w:r>
      <w:r>
        <w:rPr>
          <w:rFonts w:ascii="Times New Roman" w:cs="Times New Roman" w:eastAsia="Times New Roman" w:hAnsi="Times New Roman"/>
          <w:sz w:val="17"/>
          <w:szCs w:val="17"/>
          <w:color w:val="auto"/>
        </w:rPr>
        <w:t>. These increases were partially offset by a decrease in net revenue of $73.3 from our</w:t>
      </w:r>
      <w:r>
        <w:rPr>
          <w:rFonts w:ascii="Times New Roman" w:cs="Times New Roman" w:eastAsia="Times New Roman" w:hAnsi="Times New Roman"/>
          <w:sz w:val="17"/>
          <w:szCs w:val="17"/>
          <w:i w:val="1"/>
          <w:iCs w:val="1"/>
          <w:color w:val="auto"/>
        </w:rPr>
        <w:t xml:space="preserve"> Grand Theft Auto </w:t>
      </w:r>
      <w:r>
        <w:rPr>
          <w:rFonts w:ascii="Times New Roman" w:cs="Times New Roman" w:eastAsia="Times New Roman" w:hAnsi="Times New Roman"/>
          <w:sz w:val="17"/>
          <w:szCs w:val="17"/>
          <w:color w:val="auto"/>
        </w:rPr>
        <w:t>franchise.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4" w:name="page45"/>
    <w:bookmarkEnd w:id="44"/>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Recurrent consumer spending ("RCS") is generated from ongoing consumer engagement and includes revenue from virtual currency, add-on content, in-game purchases, and in-game advertising. Net revenue from recurrent consumer spending increased by $261.1 and accounted for 79.4% of net revenue for the fiscal year ended March 31, 2025, as compared to 78.8% for the prior year. The increase was primarily due to an increase in net revenue from </w:t>
      </w:r>
      <w:r>
        <w:rPr>
          <w:rFonts w:ascii="Times New Roman" w:cs="Times New Roman" w:eastAsia="Times New Roman" w:hAnsi="Times New Roman"/>
          <w:sz w:val="17"/>
          <w:szCs w:val="17"/>
          <w:i w:val="1"/>
          <w:iCs w:val="1"/>
          <w:color w:val="auto"/>
        </w:rPr>
        <w:t>Match Factory!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Toon Blast</w:t>
      </w:r>
      <w:r>
        <w:rPr>
          <w:rFonts w:ascii="Times New Roman" w:cs="Times New Roman" w:eastAsia="Times New Roman" w:hAnsi="Times New Roman"/>
          <w:sz w:val="17"/>
          <w:szCs w:val="17"/>
          <w:color w:val="auto"/>
        </w:rPr>
        <w:t>. These increases were partially offset by a decrease in net revenue from our</w:t>
      </w:r>
      <w:r>
        <w:rPr>
          <w:rFonts w:ascii="Times New Roman" w:cs="Times New Roman" w:eastAsia="Times New Roman" w:hAnsi="Times New Roman"/>
          <w:sz w:val="17"/>
          <w:szCs w:val="17"/>
          <w:i w:val="1"/>
          <w:iCs w:val="1"/>
          <w:color w:val="auto"/>
        </w:rPr>
        <w:t xml:space="preserve"> Grand Theft Auto </w:t>
      </w:r>
      <w:r>
        <w:rPr>
          <w:rFonts w:ascii="Times New Roman" w:cs="Times New Roman" w:eastAsia="Times New Roman" w:hAnsi="Times New Roman"/>
          <w:sz w:val="17"/>
          <w:szCs w:val="17"/>
          <w:color w:val="auto"/>
        </w:rPr>
        <w:t>franchise. Net revenue from full game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increased by $22.9 and accounted for 20.6% of net revenue for the fiscal year ended March 31, 2025, as compared to 21.2% for the prior year. The increase was primarily due to an increase in net revenue from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 and </w:t>
      </w:r>
      <w:r>
        <w:rPr>
          <w:rFonts w:ascii="Times New Roman" w:cs="Times New Roman" w:eastAsia="Times New Roman" w:hAnsi="Times New Roman"/>
          <w:sz w:val="17"/>
          <w:szCs w:val="17"/>
          <w:i w:val="1"/>
          <w:iCs w:val="1"/>
          <w:color w:val="auto"/>
        </w:rPr>
        <w:t>TopSpin 2K25</w:t>
      </w:r>
      <w:r>
        <w:rPr>
          <w:rFonts w:ascii="Times New Roman" w:cs="Times New Roman" w:eastAsia="Times New Roman" w:hAnsi="Times New Roman"/>
          <w:sz w:val="17"/>
          <w:szCs w:val="17"/>
          <w:color w:val="auto"/>
        </w:rPr>
        <w:t xml:space="preserve">. These increases were partially offset by a decrease in net revenue from our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franchise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 decrease as a result of a divestiture in our business, and a decrease in 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franchise.</w:t>
      </w:r>
    </w:p>
    <w:p>
      <w:pPr>
        <w:spacing w:after="0" w:line="115" w:lineRule="exact"/>
        <w:rPr>
          <w:sz w:val="20"/>
          <w:szCs w:val="20"/>
          <w:color w:val="auto"/>
        </w:rPr>
      </w:pPr>
    </w:p>
    <w:p>
      <w:pPr>
        <w:jc w:val="both"/>
        <w:ind w:firstLine="187"/>
        <w:spacing w:after="0" w:line="257" w:lineRule="auto"/>
        <w:rPr>
          <w:sz w:val="20"/>
          <w:szCs w:val="20"/>
          <w:color w:val="auto"/>
        </w:rPr>
      </w:pPr>
      <w:r>
        <w:rPr>
          <w:rFonts w:ascii="Times New Roman" w:cs="Times New Roman" w:eastAsia="Times New Roman" w:hAnsi="Times New Roman"/>
          <w:sz w:val="17"/>
          <w:szCs w:val="17"/>
          <w:color w:val="auto"/>
        </w:rPr>
        <w:t xml:space="preserve">Net revenue from mobile increased by $194.0 and accounted for 52.2% of our total net revenue in the fiscal year ended March 31, 2025, as compared to 51.4% in the prior year. The increase was primarily due to an increase in net revenue from </w:t>
      </w:r>
      <w:r>
        <w:rPr>
          <w:rFonts w:ascii="Times New Roman" w:cs="Times New Roman" w:eastAsia="Times New Roman" w:hAnsi="Times New Roman"/>
          <w:sz w:val="17"/>
          <w:szCs w:val="17"/>
          <w:i w:val="1"/>
          <w:iCs w:val="1"/>
          <w:color w:val="auto"/>
        </w:rPr>
        <w:t>Match Factory!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Toon Blast.</w:t>
      </w:r>
      <w:r>
        <w:rPr>
          <w:rFonts w:ascii="Times New Roman" w:cs="Times New Roman" w:eastAsia="Times New Roman" w:hAnsi="Times New Roman"/>
          <w:sz w:val="17"/>
          <w:szCs w:val="17"/>
          <w:color w:val="auto"/>
        </w:rPr>
        <w:t xml:space="preserve"> These increases were partially offset by a decrease in 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franchise, </w:t>
      </w:r>
      <w:r>
        <w:rPr>
          <w:rFonts w:ascii="Times New Roman" w:cs="Times New Roman" w:eastAsia="Times New Roman" w:hAnsi="Times New Roman"/>
          <w:sz w:val="17"/>
          <w:szCs w:val="17"/>
          <w:i w:val="1"/>
          <w:iCs w:val="1"/>
          <w:color w:val="auto"/>
        </w:rPr>
        <w:t>Merge Dragons!,</w:t>
      </w:r>
      <w:r>
        <w:rPr>
          <w:rFonts w:ascii="Times New Roman" w:cs="Times New Roman" w:eastAsia="Times New Roman" w:hAnsi="Times New Roman"/>
          <w:sz w:val="17"/>
          <w:szCs w:val="17"/>
          <w:color w:val="auto"/>
        </w:rPr>
        <w:t xml:space="preserve"> and as a result of a divestiture. Net revenue from console games decreased by $68.2 and accounted for 37.3% of our total net revenue in the fiscal year ended March 31, 2025, as compared to 40.5% in the prior year. The decrease was primarily due to a decrease in net revenue from 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franchises, and </w:t>
      </w:r>
      <w:r>
        <w:rPr>
          <w:rFonts w:ascii="Times New Roman" w:cs="Times New Roman" w:eastAsia="Times New Roman" w:hAnsi="Times New Roman"/>
          <w:sz w:val="17"/>
          <w:szCs w:val="17"/>
          <w:i w:val="1"/>
          <w:iCs w:val="1"/>
          <w:color w:val="auto"/>
        </w:rPr>
        <w:t>LEGO 2K Drive</w:t>
      </w:r>
      <w:r>
        <w:rPr>
          <w:rFonts w:ascii="Times New Roman" w:cs="Times New Roman" w:eastAsia="Times New Roman" w:hAnsi="Times New Roman"/>
          <w:sz w:val="17"/>
          <w:szCs w:val="17"/>
          <w:color w:val="auto"/>
        </w:rPr>
        <w:t>, which released in May 2023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These decreases were partially offset by an increase in net revenue from </w:t>
      </w:r>
      <w:r>
        <w:rPr>
          <w:rFonts w:ascii="Times New Roman" w:cs="Times New Roman" w:eastAsia="Times New Roman" w:hAnsi="Times New Roman"/>
          <w:sz w:val="17"/>
          <w:szCs w:val="17"/>
          <w:i w:val="1"/>
          <w:iCs w:val="1"/>
          <w:color w:val="auto"/>
        </w:rPr>
        <w:t>TopSpin 2K25</w:t>
      </w:r>
      <w:r>
        <w:rPr>
          <w:rFonts w:ascii="Times New Roman" w:cs="Times New Roman" w:eastAsia="Times New Roman" w:hAnsi="Times New Roman"/>
          <w:sz w:val="17"/>
          <w:szCs w:val="17"/>
          <w:color w:val="auto"/>
        </w:rPr>
        <w:t xml:space="preserve">, which released in April 2024, and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 Net revenue from PC and other increased by $158.2 and accounted for 10.5% of our total net revenue in the fiscal year ended March 31, 2025, as compared to 8.1% in the prior year. The increase was primarily due to an increase in net revenue from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our </w:t>
      </w:r>
      <w:r>
        <w:rPr>
          <w:rFonts w:ascii="Times New Roman" w:cs="Times New Roman" w:eastAsia="Times New Roman" w:hAnsi="Times New Roman"/>
          <w:sz w:val="17"/>
          <w:szCs w:val="17"/>
          <w:i w:val="1"/>
          <w:iCs w:val="1"/>
          <w:color w:val="auto"/>
        </w:rPr>
        <w:t>Risk of Rain</w:t>
      </w:r>
      <w:r>
        <w:rPr>
          <w:rFonts w:ascii="Times New Roman" w:cs="Times New Roman" w:eastAsia="Times New Roman" w:hAnsi="Times New Roman"/>
          <w:sz w:val="17"/>
          <w:szCs w:val="17"/>
          <w:color w:val="auto"/>
        </w:rPr>
        <w:t xml:space="preserve"> franchise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was acquired in connection with our acquisition of Gearbox in June 2024 (refer to </w:t>
      </w:r>
      <w:r>
        <w:rPr>
          <w:rFonts w:ascii="Times New Roman" w:cs="Times New Roman" w:eastAsia="Times New Roman" w:hAnsi="Times New Roman"/>
          <w:sz w:val="17"/>
          <w:szCs w:val="17"/>
          <w:u w:val="single" w:color="auto"/>
          <w:color w:val="0000FF"/>
        </w:rPr>
        <w:t>Note 20 - Acquisitions</w:t>
      </w:r>
      <w:r>
        <w:rPr>
          <w:rFonts w:ascii="Times New Roman" w:cs="Times New Roman" w:eastAsia="Times New Roman" w:hAnsi="Times New Roman"/>
          <w:sz w:val="17"/>
          <w:szCs w:val="17"/>
          <w:color w:val="auto"/>
        </w:rPr>
        <w:t xml:space="preserve">); and our </w:t>
      </w:r>
      <w:r>
        <w:rPr>
          <w:rFonts w:ascii="Times New Roman" w:cs="Times New Roman" w:eastAsia="Times New Roman" w:hAnsi="Times New Roman"/>
          <w:sz w:val="17"/>
          <w:szCs w:val="17"/>
          <w:i w:val="1"/>
          <w:iCs w:val="1"/>
          <w:color w:val="auto"/>
        </w:rPr>
        <w:t>Grand Theft Auto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franchises.</w:t>
      </w:r>
    </w:p>
    <w:p>
      <w:pPr>
        <w:spacing w:after="0" w:line="114" w:lineRule="exact"/>
        <w:rPr>
          <w:sz w:val="20"/>
          <w:szCs w:val="20"/>
          <w:color w:val="auto"/>
        </w:rPr>
      </w:pPr>
    </w:p>
    <w:p>
      <w:pPr>
        <w:jc w:val="both"/>
        <w:ind w:firstLine="220"/>
        <w:spacing w:after="0" w:line="261" w:lineRule="auto"/>
        <w:rPr>
          <w:sz w:val="20"/>
          <w:szCs w:val="20"/>
          <w:color w:val="auto"/>
        </w:rPr>
      </w:pPr>
      <w:r>
        <w:rPr>
          <w:rFonts w:ascii="Times New Roman" w:cs="Times New Roman" w:eastAsia="Times New Roman" w:hAnsi="Times New Roman"/>
          <w:sz w:val="17"/>
          <w:szCs w:val="17"/>
          <w:color w:val="auto"/>
        </w:rPr>
        <w:t xml:space="preserve">Net revenue from digital online channels increased by $319.6 and accounted for 96.4% of our total net revenue for the fiscal year ended March 31, 2025, as compared to 95.6% in the prior year. The increase was primarily due to an increase in net revenue from </w:t>
      </w:r>
      <w:r>
        <w:rPr>
          <w:rFonts w:ascii="Times New Roman" w:cs="Times New Roman" w:eastAsia="Times New Roman" w:hAnsi="Times New Roman"/>
          <w:sz w:val="17"/>
          <w:szCs w:val="17"/>
          <w:i w:val="1"/>
          <w:iCs w:val="1"/>
          <w:color w:val="auto"/>
        </w:rPr>
        <w:t>Match Factory!</w:t>
      </w:r>
      <w:r>
        <w:rPr>
          <w:rFonts w:ascii="Times New Roman" w:cs="Times New Roman" w:eastAsia="Times New Roman" w:hAnsi="Times New Roman"/>
          <w:sz w:val="17"/>
          <w:szCs w:val="17"/>
          <w:color w:val="auto"/>
        </w:rPr>
        <w:t xml:space="preserve">,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 and </w:t>
      </w:r>
      <w:r>
        <w:rPr>
          <w:rFonts w:ascii="Times New Roman" w:cs="Times New Roman" w:eastAsia="Times New Roman" w:hAnsi="Times New Roman"/>
          <w:sz w:val="17"/>
          <w:szCs w:val="17"/>
          <w:i w:val="1"/>
          <w:iCs w:val="1"/>
          <w:color w:val="auto"/>
        </w:rPr>
        <w:t xml:space="preserve">Toon Blast. </w:t>
      </w:r>
      <w:r>
        <w:rPr>
          <w:rFonts w:ascii="Times New Roman" w:cs="Times New Roman" w:eastAsia="Times New Roman" w:hAnsi="Times New Roman"/>
          <w:sz w:val="17"/>
          <w:szCs w:val="17"/>
          <w:color w:val="auto"/>
        </w:rPr>
        <w:t>These increases were partially offset by a decrease in net revenue from our</w:t>
      </w:r>
      <w:r>
        <w:rPr>
          <w:rFonts w:ascii="Times New Roman" w:cs="Times New Roman" w:eastAsia="Times New Roman" w:hAnsi="Times New Roman"/>
          <w:sz w:val="17"/>
          <w:szCs w:val="17"/>
          <w:i w:val="1"/>
          <w:iCs w:val="1"/>
          <w:color w:val="auto"/>
        </w:rPr>
        <w:t xml:space="preserve"> Grand Theft Auto </w:t>
      </w:r>
      <w:r>
        <w:rPr>
          <w:rFonts w:ascii="Times New Roman" w:cs="Times New Roman" w:eastAsia="Times New Roman" w:hAnsi="Times New Roman"/>
          <w:sz w:val="17"/>
          <w:szCs w:val="17"/>
          <w:color w:val="auto"/>
        </w:rPr>
        <w:t>franchise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revenue from physical retail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channels decreased by $35.6 and accounted for 3.6% of our total net revenue for the fiscal year ended March 31, 2025, as compared to 4.4% for the prior year. The decrease was primarily due to a decrease in net revenue from our </w:t>
      </w:r>
      <w:r>
        <w:rPr>
          <w:rFonts w:ascii="Times New Roman" w:cs="Times New Roman" w:eastAsia="Times New Roman" w:hAnsi="Times New Roman"/>
          <w:sz w:val="17"/>
          <w:szCs w:val="17"/>
          <w:i w:val="1"/>
          <w:iCs w:val="1"/>
          <w:color w:val="auto"/>
        </w:rPr>
        <w:t>NBA 2K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Red Dead Redemption</w:t>
      </w:r>
      <w:r>
        <w:rPr>
          <w:rFonts w:ascii="Times New Roman" w:cs="Times New Roman" w:eastAsia="Times New Roman" w:hAnsi="Times New Roman"/>
          <w:sz w:val="17"/>
          <w:szCs w:val="17"/>
          <w:color w:val="auto"/>
        </w:rPr>
        <w:t xml:space="preserve"> franchises, and </w:t>
      </w:r>
      <w:r>
        <w:rPr>
          <w:rFonts w:ascii="Times New Roman" w:cs="Times New Roman" w:eastAsia="Times New Roman" w:hAnsi="Times New Roman"/>
          <w:sz w:val="17"/>
          <w:szCs w:val="17"/>
          <w:i w:val="1"/>
          <w:iCs w:val="1"/>
          <w:color w:val="auto"/>
        </w:rPr>
        <w:t>LEGO 2K Drive</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both"/>
        <w:ind w:firstLine="230"/>
        <w:spacing w:after="0" w:line="287" w:lineRule="auto"/>
        <w:rPr>
          <w:sz w:val="20"/>
          <w:szCs w:val="20"/>
          <w:color w:val="auto"/>
        </w:rPr>
      </w:pPr>
      <w:r>
        <w:rPr>
          <w:rFonts w:ascii="Times New Roman" w:cs="Times New Roman" w:eastAsia="Times New Roman" w:hAnsi="Times New Roman"/>
          <w:sz w:val="17"/>
          <w:szCs w:val="17"/>
          <w:color w:val="auto"/>
        </w:rPr>
        <w:t xml:space="preserve">Gross profit as a percentage of net revenue for the fiscal year ended March 31, 2025 was 54.3%, as compared to 41.9% in the prior year. The increase was primarily due to lower impairment charges related to intangible assets related to our Zynga acquisition (refer to </w:t>
      </w:r>
      <w:r>
        <w:rPr>
          <w:rFonts w:ascii="Times New Roman" w:cs="Times New Roman" w:eastAsia="Times New Roman" w:hAnsi="Times New Roman"/>
          <w:sz w:val="17"/>
          <w:szCs w:val="17"/>
          <w:u w:val="single" w:color="auto"/>
          <w:color w:val="0000FF"/>
        </w:rPr>
        <w:t>Note 9 - Goodwill and Intangible Assets, net</w:t>
      </w:r>
      <w:r>
        <w:rPr>
          <w:rFonts w:ascii="Times New Roman" w:cs="Times New Roman" w:eastAsia="Times New Roman" w:hAnsi="Times New Roman"/>
          <w:sz w:val="17"/>
          <w:szCs w:val="17"/>
          <w:color w:val="auto"/>
        </w:rPr>
        <w:t>).</w:t>
      </w:r>
    </w:p>
    <w:p>
      <w:pPr>
        <w:spacing w:after="0" w:line="87" w:lineRule="exact"/>
        <w:rPr>
          <w:sz w:val="20"/>
          <w:szCs w:val="20"/>
          <w:color w:val="auto"/>
        </w:rPr>
      </w:pPr>
    </w:p>
    <w:p>
      <w:pPr>
        <w:jc w:val="both"/>
        <w:ind w:firstLine="205"/>
        <w:spacing w:after="0" w:line="287" w:lineRule="auto"/>
        <w:rPr>
          <w:sz w:val="20"/>
          <w:szCs w:val="20"/>
          <w:color w:val="auto"/>
        </w:rPr>
      </w:pPr>
      <w:r>
        <w:rPr>
          <w:rFonts w:ascii="Times New Roman" w:cs="Times New Roman" w:eastAsia="Times New Roman" w:hAnsi="Times New Roman"/>
          <w:sz w:val="17"/>
          <w:szCs w:val="17"/>
          <w:color w:val="auto"/>
        </w:rPr>
        <w:t>Changes in foreign currency exchange rates decreased net revenue by $2.5 and increased gross profit by $0.2, respectively, in the fiscal year ended March 31, 2025 as compared to the prior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260" w:type="dxa"/>
            <w:vAlign w:val="bottom"/>
          </w:tcPr>
          <w:p>
            <w:pPr>
              <w:spacing w:after="0"/>
              <w:rPr>
                <w:sz w:val="13"/>
                <w:szCs w:val="13"/>
                <w:color w:val="auto"/>
              </w:rPr>
            </w:pPr>
          </w:p>
        </w:tc>
        <w:tc>
          <w:tcPr>
            <w:tcW w:w="8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13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Increase/(decrease)</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1,683.7</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1,550.2</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1,005.2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883.3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229.4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impairment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3,545.2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Business reorganization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1.9 %</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2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Includes stock-based compensation expense, which was allocated as follows: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7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95.3</w:t>
            </w:r>
          </w:p>
        </w:tc>
        <w:tc>
          <w:tcPr>
            <w:tcW w:w="0" w:type="dxa"/>
            <w:vAlign w:val="bottom"/>
          </w:tcPr>
          <w:p>
            <w:pPr>
              <w:spacing w:after="0"/>
              <w:rPr>
                <w:sz w:val="1"/>
                <w:szCs w:val="1"/>
                <w:color w:val="auto"/>
              </w:rPr>
            </w:pPr>
          </w:p>
        </w:tc>
      </w:tr>
      <w:tr>
        <w:trPr>
          <w:trHeight w:val="219"/>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104.4</w:t>
            </w:r>
          </w:p>
        </w:tc>
        <w:tc>
          <w:tcPr>
            <w:tcW w:w="0" w:type="dxa"/>
            <w:vAlign w:val="bottom"/>
          </w:tcPr>
          <w:p>
            <w:pPr>
              <w:spacing w:after="0"/>
              <w:rPr>
                <w:sz w:val="1"/>
                <w:szCs w:val="1"/>
                <w:color w:val="auto"/>
              </w:rPr>
            </w:pPr>
          </w:p>
        </w:tc>
      </w:tr>
      <w:tr>
        <w:trPr>
          <w:trHeight w:val="219"/>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123.2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111.5</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Foreign currency exchange rates decreased total operating expenses by $6.8 for the fiscal year ended March 31, 2025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auto"/>
        </w:rPr>
        <w:t>Selling and marketing</w:t>
      </w:r>
    </w:p>
    <w:p>
      <w:pPr>
        <w:spacing w:after="0" w:line="153" w:lineRule="exact"/>
        <w:rPr>
          <w:sz w:val="20"/>
          <w:szCs w:val="20"/>
          <w:color w:val="auto"/>
        </w:rPr>
      </w:pPr>
    </w:p>
    <w:p>
      <w:pPr>
        <w:jc w:val="both"/>
        <w:ind w:firstLine="199"/>
        <w:spacing w:after="0" w:line="270" w:lineRule="auto"/>
        <w:rPr>
          <w:sz w:val="20"/>
          <w:szCs w:val="20"/>
          <w:color w:val="auto"/>
        </w:rPr>
      </w:pPr>
      <w:r>
        <w:rPr>
          <w:rFonts w:ascii="Times New Roman" w:cs="Times New Roman" w:eastAsia="Times New Roman" w:hAnsi="Times New Roman"/>
          <w:sz w:val="17"/>
          <w:szCs w:val="17"/>
          <w:color w:val="auto"/>
        </w:rPr>
        <w:t xml:space="preserve">Selling and marketing expenses increased by $133.5 for the fiscal year ended March 31, 2025 as compared to the prior year period, primarily due to (i) higher overall marketing expenses for </w:t>
      </w:r>
      <w:r>
        <w:rPr>
          <w:rFonts w:ascii="Times New Roman" w:cs="Times New Roman" w:eastAsia="Times New Roman" w:hAnsi="Times New Roman"/>
          <w:sz w:val="17"/>
          <w:szCs w:val="17"/>
          <w:i w:val="1"/>
          <w:iCs w:val="1"/>
          <w:color w:val="auto"/>
        </w:rPr>
        <w:t>Match Factory!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Game of Thrones: Legends</w:t>
      </w:r>
      <w:r>
        <w:rPr>
          <w:rFonts w:ascii="Times New Roman" w:cs="Times New Roman" w:eastAsia="Times New Roman" w:hAnsi="Times New Roman"/>
          <w:sz w:val="17"/>
          <w:szCs w:val="17"/>
          <w:color w:val="auto"/>
        </w:rPr>
        <w:t xml:space="preserve">, and our </w:t>
      </w:r>
      <w:r>
        <w:rPr>
          <w:rFonts w:ascii="Times New Roman" w:cs="Times New Roman" w:eastAsia="Times New Roman" w:hAnsi="Times New Roman"/>
          <w:sz w:val="17"/>
          <w:szCs w:val="17"/>
          <w:i w:val="1"/>
          <w:iCs w:val="1"/>
          <w:color w:val="auto"/>
        </w:rPr>
        <w:t>Sid Meier's Civilization</w:t>
      </w:r>
      <w:r>
        <w:rPr>
          <w:rFonts w:ascii="Times New Roman" w:cs="Times New Roman" w:eastAsia="Times New Roman" w:hAnsi="Times New Roman"/>
          <w:sz w:val="17"/>
          <w:szCs w:val="17"/>
          <w:color w:val="auto"/>
        </w:rPr>
        <w:t xml:space="preserve"> franchise, partially offset by lower marketing expenses for our hyper-casual mobile portfolio, and (ii) lower amortization related to our intangible assets.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Research and development</w:t>
      </w:r>
    </w:p>
    <w:p>
      <w:pPr>
        <w:spacing w:after="0" w:line="140" w:lineRule="exact"/>
        <w:rPr>
          <w:sz w:val="20"/>
          <w:szCs w:val="20"/>
          <w:color w:val="auto"/>
        </w:rPr>
      </w:pPr>
    </w:p>
    <w:p>
      <w:pPr>
        <w:jc w:val="both"/>
        <w:ind w:firstLine="258"/>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increased by $57.0 for the fiscal year ended March 31, 2025, as compared to the prior year period, primarily due to increases in (i) personnel expenses due to increased headcount and (ii) production and development expenses for titles that are not technologically feasible, partially offset by the timing of tax related credits for certain titles.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General and administrative</w:t>
      </w:r>
    </w:p>
    <w:p>
      <w:pPr>
        <w:spacing w:after="0" w:line="153" w:lineRule="exact"/>
        <w:rPr>
          <w:sz w:val="20"/>
          <w:szCs w:val="20"/>
          <w:color w:val="auto"/>
        </w:rPr>
      </w:pPr>
    </w:p>
    <w:p>
      <w:pPr>
        <w:jc w:val="both"/>
        <w:ind w:firstLine="245"/>
        <w:spacing w:after="0" w:line="261" w:lineRule="auto"/>
        <w:rPr>
          <w:sz w:val="20"/>
          <w:szCs w:val="20"/>
          <w:color w:val="auto"/>
        </w:rPr>
      </w:pPr>
      <w:r>
        <w:rPr>
          <w:rFonts w:ascii="Times New Roman" w:cs="Times New Roman" w:eastAsia="Times New Roman" w:hAnsi="Times New Roman"/>
          <w:sz w:val="17"/>
          <w:szCs w:val="17"/>
          <w:color w:val="auto"/>
        </w:rPr>
        <w:t xml:space="preserve">General and administrative expenses increased by $167.2 for the fiscal year ended March 31, 2025, as compared to the prior year period, primarily due to increases in (i) transaction costs related to our acquisition of Gearbox (refer to </w:t>
      </w:r>
      <w:r>
        <w:rPr>
          <w:rFonts w:ascii="Times New Roman" w:cs="Times New Roman" w:eastAsia="Times New Roman" w:hAnsi="Times New Roman"/>
          <w:sz w:val="17"/>
          <w:szCs w:val="17"/>
          <w:u w:val="single" w:color="auto"/>
          <w:color w:val="0000FF"/>
        </w:rPr>
        <w:t>Note 20 - Acquisitions</w:t>
      </w:r>
      <w:r>
        <w:rPr>
          <w:rFonts w:ascii="Times New Roman" w:cs="Times New Roman" w:eastAsia="Times New Roman" w:hAnsi="Times New Roman"/>
          <w:sz w:val="17"/>
          <w:szCs w:val="17"/>
          <w:color w:val="auto"/>
        </w:rPr>
        <w:t>), (ii) personnel expenses due to increased headcount, (iii) legal fees and contingencies related to the IBM case against Zynga, (iv) IT-related expenses for cloud-based services and IT infrastructure, as well as, (v) a reduction of expense in the prior year related to updating the fair value of contingent earn-out liability for our acquisition of Popcore with no corresponding reduction in the current year.</w:t>
      </w:r>
    </w:p>
    <w:p>
      <w:pPr>
        <w:spacing w:after="0" w:line="97" w:lineRule="exact"/>
        <w:rPr>
          <w:sz w:val="20"/>
          <w:szCs w:val="20"/>
          <w:color w:val="auto"/>
        </w:rPr>
      </w:pPr>
    </w:p>
    <w:p>
      <w:pPr>
        <w:jc w:val="both"/>
        <w:ind w:firstLine="277"/>
        <w:spacing w:after="0" w:line="287" w:lineRule="auto"/>
        <w:rPr>
          <w:sz w:val="20"/>
          <w:szCs w:val="20"/>
          <w:color w:val="auto"/>
        </w:rPr>
      </w:pPr>
      <w:r>
        <w:rPr>
          <w:rFonts w:ascii="Times New Roman" w:cs="Times New Roman" w:eastAsia="Times New Roman" w:hAnsi="Times New Roman"/>
          <w:sz w:val="17"/>
          <w:szCs w:val="17"/>
          <w:color w:val="auto"/>
        </w:rPr>
        <w:t>General and administrative expenses for the fiscal years ended March 31, 2025 and 2024 include occupancy expense (primarily rent, utilities and office expenses) of $73.9 and $69.9, respectively, related to our development studios.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Depreciation and amortization</w:t>
      </w:r>
    </w:p>
    <w:p>
      <w:pPr>
        <w:spacing w:after="0" w:line="153" w:lineRule="exact"/>
        <w:rPr>
          <w:sz w:val="20"/>
          <w:szCs w:val="20"/>
          <w:color w:val="auto"/>
        </w:rPr>
      </w:pPr>
    </w:p>
    <w:p>
      <w:pPr>
        <w:jc w:val="both"/>
        <w:ind w:firstLine="223"/>
        <w:spacing w:after="0" w:line="270" w:lineRule="auto"/>
        <w:rPr>
          <w:sz w:val="20"/>
          <w:szCs w:val="20"/>
          <w:color w:val="auto"/>
        </w:rPr>
      </w:pPr>
      <w:r>
        <w:rPr>
          <w:rFonts w:ascii="Times New Roman" w:cs="Times New Roman" w:eastAsia="Times New Roman" w:hAnsi="Times New Roman"/>
          <w:sz w:val="17"/>
          <w:szCs w:val="17"/>
          <w:color w:val="auto"/>
        </w:rPr>
        <w:t xml:space="preserve">Depreciation and amortization expenses increased by $58.2 for the fiscal year ended March 31, 2025, as compared to the prior year period, primarily due to increases in (i) impairment expense related to our intangible assets (refer to </w:t>
      </w:r>
      <w:r>
        <w:rPr>
          <w:rFonts w:ascii="Times New Roman" w:cs="Times New Roman" w:eastAsia="Times New Roman" w:hAnsi="Times New Roman"/>
          <w:sz w:val="17"/>
          <w:szCs w:val="17"/>
          <w:u w:val="single" w:color="auto"/>
          <w:color w:val="0000FF"/>
        </w:rPr>
        <w:t>Note 9 - Goodwill and Intangible Assets, Net</w:t>
      </w:r>
      <w:r>
        <w:rPr>
          <w:rFonts w:ascii="Times New Roman" w:cs="Times New Roman" w:eastAsia="Times New Roman" w:hAnsi="Times New Roman"/>
          <w:sz w:val="17"/>
          <w:szCs w:val="17"/>
          <w:color w:val="auto"/>
        </w:rPr>
        <w:t>), (ii) IT infrastructure expense, and (iii) leasehold improvements for office buildouts.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Goodwill impairment</w:t>
      </w:r>
    </w:p>
    <w:p>
      <w:pPr>
        <w:spacing w:after="0" w:line="15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Goodwill impairment expense for the fiscal years ended March 31, 2025 and 2024, were $3,545.2 and $2,342.1, respectively, due to partial impairments recognized related to one of our reporting units (refer to </w:t>
      </w:r>
      <w:r>
        <w:rPr>
          <w:rFonts w:ascii="Times New Roman" w:cs="Times New Roman" w:eastAsia="Times New Roman" w:hAnsi="Times New Roman"/>
          <w:sz w:val="17"/>
          <w:szCs w:val="17"/>
          <w:u w:val="single" w:color="auto"/>
          <w:color w:val="0000FF"/>
        </w:rPr>
        <w:t>Note 9 - Goodwill and Intangible Assets, Net</w:t>
      </w:r>
      <w:r>
        <w:rPr>
          <w:rFonts w:ascii="Times New Roman" w:cs="Times New Roman" w:eastAsia="Times New Roman" w:hAnsi="Times New Roman"/>
          <w:sz w:val="17"/>
          <w:szCs w:val="17"/>
          <w:color w:val="auto"/>
        </w:rPr>
        <w: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Business reorganization</w:t>
      </w:r>
    </w:p>
    <w:p>
      <w:pPr>
        <w:spacing w:after="0" w:line="14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Business reorganization expense increased by $1.9 for the fiscal year ended March 31, 2025, as compared to the prior year period, primarily due to an increase in employee-related costs and losses on our divestitures, partially offset by a decrease in expense due to cancellations of our titles (refer to </w:t>
      </w:r>
      <w:r>
        <w:rPr>
          <w:rFonts w:ascii="Times New Roman" w:cs="Times New Roman" w:eastAsia="Times New Roman" w:hAnsi="Times New Roman"/>
          <w:sz w:val="17"/>
          <w:szCs w:val="17"/>
          <w:u w:val="single" w:color="auto"/>
          <w:color w:val="0000FF"/>
        </w:rPr>
        <w:t>Note 21 -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Business Reorganization</w:t>
      </w:r>
      <w:r>
        <w:rPr>
          <w:rFonts w:ascii="Times New Roman" w:cs="Times New Roman" w:eastAsia="Times New Roman" w:hAnsi="Times New Roman"/>
          <w:sz w:val="17"/>
          <w:szCs w:val="17"/>
          <w:color w:val="000000"/>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260" w:type="dxa"/>
            <w:vAlign w:val="bottom"/>
          </w:tcPr>
          <w:p>
            <w:pPr>
              <w:spacing w:after="0"/>
              <w:rPr>
                <w:sz w:val="13"/>
                <w:szCs w:val="13"/>
                <w:color w:val="auto"/>
              </w:rPr>
            </w:pPr>
          </w:p>
        </w:tc>
        <w:tc>
          <w:tcPr>
            <w:tcW w:w="8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17"/>
        </w:trPr>
        <w:tc>
          <w:tcPr>
            <w:tcW w:w="37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58.3 %</w:t>
            </w:r>
          </w:p>
        </w:tc>
        <w:tc>
          <w:tcPr>
            <w:tcW w:w="0" w:type="dxa"/>
            <w:vAlign w:val="bottom"/>
          </w:tcPr>
          <w:p>
            <w:pPr>
              <w:spacing w:after="0"/>
              <w:rPr>
                <w:sz w:val="1"/>
                <w:szCs w:val="1"/>
                <w:color w:val="auto"/>
              </w:rPr>
            </w:pPr>
          </w:p>
        </w:tc>
      </w:tr>
      <w:tr>
        <w:trPr>
          <w:trHeight w:val="219"/>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(167.3)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Foreign currency exchange gain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9"/>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0" w:type="dxa"/>
            <w:vAlign w:val="bottom"/>
          </w:tcPr>
          <w:p>
            <w:pPr>
              <w:spacing w:after="0"/>
              <w:rPr>
                <w:sz w:val="1"/>
                <w:szCs w:val="1"/>
                <w:color w:val="auto"/>
              </w:rPr>
            </w:pPr>
          </w:p>
        </w:tc>
      </w:tr>
      <w:tr>
        <w:trPr>
          <w:trHeight w:val="237"/>
        </w:trPr>
        <w:tc>
          <w:tcPr>
            <w:tcW w:w="3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net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187"/>
        <w:spacing w:after="0" w:line="264" w:lineRule="auto"/>
        <w:rPr>
          <w:sz w:val="20"/>
          <w:szCs w:val="20"/>
          <w:color w:val="auto"/>
        </w:rPr>
      </w:pPr>
      <w:r>
        <w:rPr>
          <w:rFonts w:ascii="Times New Roman" w:cs="Times New Roman" w:eastAsia="Times New Roman" w:hAnsi="Times New Roman"/>
          <w:sz w:val="17"/>
          <w:szCs w:val="17"/>
          <w:color w:val="auto"/>
        </w:rPr>
        <w:t xml:space="preserve">Interest and other, net was expense of $93.3 for the fiscal year ended March 31, 2025, as compared to $103.6 for the fiscal year ended March 31, 2024. The net decrease in expense was primarily due to an increase in interest income primarily due to increases in interest rates and cash balances and a gain on the sale of an investment. These decreases in net expense were partially offset by increases in foreign currency losses, interest expense related to our debt transactions (refer to </w:t>
      </w:r>
      <w:r>
        <w:rPr>
          <w:rFonts w:ascii="Times New Roman" w:cs="Times New Roman" w:eastAsia="Times New Roman" w:hAnsi="Times New Roman"/>
          <w:sz w:val="17"/>
          <w:szCs w:val="17"/>
          <w:u w:val="single" w:color="auto"/>
          <w:color w:val="0000FF"/>
        </w:rPr>
        <w:t>Note 11 - Debt</w:t>
      </w:r>
      <w:r>
        <w:rPr>
          <w:rFonts w:ascii="Times New Roman" w:cs="Times New Roman" w:eastAsia="Times New Roman" w:hAnsi="Times New Roman"/>
          <w:sz w:val="17"/>
          <w:szCs w:val="17"/>
          <w:color w:val="000000"/>
        </w:rPr>
        <w:t>) and a gain on debt extinguishment recognized in the prior year on the partial repayment of our 2024 Notes.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fair value adjustments, net</w:t>
      </w:r>
    </w:p>
    <w:p>
      <w:pPr>
        <w:spacing w:after="0" w:line="15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Loss on fair value adjustments, net for the fiscal year ended March 31, 2025 was a loss of $6.9 compared to a loss of $8.6 in the prior year period. The change was primarily due to changes in fair value based on observable price changes of our long-term investments and an increase in fair value of our Convertible Notes.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Benefit from income taxes</w:t>
      </w:r>
    </w:p>
    <w:p>
      <w:pPr>
        <w:spacing w:after="0" w:line="146" w:lineRule="exact"/>
        <w:rPr>
          <w:sz w:val="20"/>
          <w:szCs w:val="20"/>
          <w:color w:val="auto"/>
        </w:rPr>
      </w:pPr>
    </w:p>
    <w:p>
      <w:pPr>
        <w:jc w:val="both"/>
        <w:ind w:firstLine="233"/>
        <w:spacing w:after="0" w:line="287" w:lineRule="auto"/>
        <w:rPr>
          <w:sz w:val="20"/>
          <w:szCs w:val="20"/>
          <w:color w:val="auto"/>
        </w:rPr>
      </w:pPr>
      <w:r>
        <w:rPr>
          <w:rFonts w:ascii="Times New Roman" w:cs="Times New Roman" w:eastAsia="Times New Roman" w:hAnsi="Times New Roman"/>
          <w:sz w:val="17"/>
          <w:szCs w:val="17"/>
          <w:color w:val="auto"/>
        </w:rPr>
        <w:t>Our income tax benefit was $12.4 for the fiscal year ended March 31, 2025 as compared to a provision for income taxes of $41.4 for the fiscal year ended March 31, 2024.</w:t>
      </w:r>
    </w:p>
    <w:p>
      <w:pPr>
        <w:spacing w:after="0" w:line="87" w:lineRule="exact"/>
        <w:rPr>
          <w:sz w:val="20"/>
          <w:szCs w:val="20"/>
          <w:color w:val="auto"/>
        </w:rPr>
      </w:pPr>
    </w:p>
    <w:p>
      <w:pPr>
        <w:jc w:val="both"/>
        <w:ind w:firstLine="186"/>
        <w:spacing w:after="0" w:line="270" w:lineRule="auto"/>
        <w:rPr>
          <w:sz w:val="20"/>
          <w:szCs w:val="20"/>
          <w:color w:val="auto"/>
        </w:rPr>
      </w:pPr>
      <w:r>
        <w:rPr>
          <w:rFonts w:ascii="Times New Roman" w:cs="Times New Roman" w:eastAsia="Times New Roman" w:hAnsi="Times New Roman"/>
          <w:sz w:val="17"/>
          <w:szCs w:val="17"/>
          <w:color w:val="auto"/>
        </w:rPr>
        <w:t>When compared to the statutory rate of 21%, the effective tax rate of 0.3% for the fiscal year ended March 31, 2025 was primarily due to an expense of $718.0 from nondeductible goodwill impairments, $222.7 from an increase in the U.S. valuation allowance expense, $25.5 from an increase in the foreign valuation allowance expense, $41.4 from our geographic mix and foreign earnings partially offset by a $54.5 benefit from tax credits anticipated to be utilized.</w:t>
      </w:r>
    </w:p>
    <w:p>
      <w:pPr>
        <w:spacing w:after="0" w:line="10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When compared to the statutory rate of 21%, the effective tax rate of (1.1)% for the fiscal year ended March 31, 2024 was primarily due to an expense of $474.7 from nondeductible goodwill impairments, $337.2 from an increase in the U.S. valuation allowance expense, $41.6 from an increase in the foreign valuation allowance expense, $39.0 from our geographic mix and foreign earnings, and $29.2 from a decrease in the net deferred tax asset relating to the Swiss cantonal basis step-up (as noted below) partially offset by a $63.3 benefit from tax credits anticipated to be utilized and $32.7 benefit from changes in reserves due to statute lapses.</w:t>
      </w:r>
    </w:p>
    <w:p>
      <w:pPr>
        <w:spacing w:after="0" w:line="30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effective tax rate in the current year was higher compared to the prior year primarily due to increased expense from nondeductible goodwill impairments, decreased benefits from tax credits, decreased expense related to an increase in our valuation allowance, and the impact of geographic mix and foreign earnings.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accounting for share-based compensation will increase or decrease our effective tax rate based upon the difference between our share-based compensation expense and the deductions taken on our tax return, which depends on the stock price at the time of the employee award vesting.</w:t>
      </w:r>
    </w:p>
    <w:p>
      <w:pPr>
        <w:spacing w:after="0" w:line="8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anticipate that additional excess tax benefits or shortfalls from employee stock compensation, tax credits, changes in valuation allowance,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w:t>
      </w:r>
    </w:p>
    <w:p>
      <w:pPr>
        <w:spacing w:after="0" w:line="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ARPA, among other things, includes provisions to expand the IRC Section 162(m) disallowance for deduction of certain compensation paid by publicly held corporations. Effective for tax years starting after December 31, 2026 (April 1, 2027 for the Company), ARPA expands the limitation to cover the next five most highly compensated employees. ARPA did not have a material impact on our Consolidated Financial Statements for the fiscal year ended March 31, 2025. We continue to evaluate the potential impact ARPA may have on our operations and Consolidated Financial Statements in future periods.</w:t>
      </w:r>
    </w:p>
    <w:p>
      <w:pPr>
        <w:spacing w:after="0" w:line="1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Inflation Reduction Act includes a new CAMT of 15% on the AFSI of corporations with an average AFSI exceeding $1.0 billion over a consecutive three-year period. The CAMT is effective for taxable year ending March 31, 2024. It is possible that the CAMT could result in an additional tax liability over the regular federal corporate tax liability in a particular year based on differences between book and taxable income. We do not estimate any tax liability relating to CAMT for the current fiscal year. We will continue to evaluate the potential impact the Inflation Reduction Act may have on our operations and Consolidated Financial Statements in future periods.</w:t>
      </w:r>
    </w:p>
    <w:p>
      <w:pPr>
        <w:spacing w:after="0" w:line="11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OECD has proposed a global minimum tax of 15% of reported profits, referred to as Pillar Two. Many countries have already implemented or are taking steps to implement Pillar Two. Although the model rules provide a framework for applying the minimum tax, countries may enact Pillar Two slightly differently than the model rules and on different timelines. Many aspects of Pillar Two are effective for the fiscal year ending March 31, 2025. Pillar Two could result in additional tax liability over the regular corporate tax liability in a particular jurisdiction to the extent tax expense is less than a 15% minimum rate. The impact of Pillar Two was not material to the tax provision for the fiscal year ended March 31, 2025.</w:t>
      </w:r>
    </w:p>
    <w:p>
      <w:pPr>
        <w:spacing w:after="0" w:line="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Switzerland's Federal Act on Tax Reform and AVH Financing ("TRAF") abolished preferential tax regimes for holding companies, domicile companies, and mixed companies at the cantonal level. The TRAF allows the cantons to establish transition rules, the implementation of which may be subject to a ruling from the canton. For the fiscal year ended March 31,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47" w:name="page48"/>
    <w:bookmarkEnd w:id="47"/>
    <w:p>
      <w:pPr>
        <w:jc w:val="both"/>
        <w:spacing w:after="0" w:line="303" w:lineRule="auto"/>
        <w:rPr>
          <w:sz w:val="20"/>
          <w:szCs w:val="20"/>
          <w:color w:val="auto"/>
        </w:rPr>
      </w:pPr>
      <w:r>
        <w:rPr>
          <w:rFonts w:ascii="Times New Roman" w:cs="Times New Roman" w:eastAsia="Times New Roman" w:hAnsi="Times New Roman"/>
          <w:sz w:val="17"/>
          <w:szCs w:val="17"/>
          <w:color w:val="auto"/>
        </w:rPr>
        <w:t>2024, we recorded a net tax expense of $29.2 due to an increase in the valuation of allowance of $81.3 offset by an increase in the deferred tax asset of $52.1 relating to the Swiss cantonal basis step-up, as it is more-likely-than-not that such deferred tax assets would not be realized.</w:t>
      </w:r>
    </w:p>
    <w:p>
      <w:pPr>
        <w:spacing w:after="0" w:line="6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we had gross unrecognized tax benefits, including interest and penalties, of $267.1, of which $109.5 would affect our effective tax rate if realized. For the fiscal year ended March 31, 2025, gross unrecognized tax benefits decreased by $9.3.</w:t>
      </w:r>
    </w:p>
    <w:p>
      <w:pPr>
        <w:spacing w:after="0" w:line="87" w:lineRule="exact"/>
        <w:rPr>
          <w:sz w:val="20"/>
          <w:szCs w:val="20"/>
          <w:color w:val="auto"/>
        </w:rPr>
      </w:pPr>
    </w:p>
    <w:p>
      <w:pPr>
        <w:jc w:val="both"/>
        <w:ind w:firstLine="192"/>
        <w:spacing w:after="0" w:line="264" w:lineRule="auto"/>
        <w:rPr>
          <w:sz w:val="20"/>
          <w:szCs w:val="20"/>
          <w:color w:val="auto"/>
        </w:rPr>
      </w:pPr>
      <w:r>
        <w:rPr>
          <w:rFonts w:ascii="Times New Roman" w:cs="Times New Roman" w:eastAsia="Times New Roman" w:hAnsi="Times New Roman"/>
          <w:sz w:val="17"/>
          <w:szCs w:val="17"/>
          <w:color w:val="auto"/>
        </w:rPr>
        <w:t>We are no longer subject to audit for U.S. federal income tax returns for periods prior to our fiscal year ended March 31, 2022 and state income tax returns for periods prior to the fiscal year ended March 31, 2020. With few exceptions, we are no longer subject to income tax examinations in non-U.S. jurisdictions for years prior to fiscal year ended March 31, 2018. Certain U.S. federal, state and foreign taxing authorities are currently examining our income tax returns for the fiscal years ended March 31, 2016 through March 31,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and loss per share</w:t>
      </w:r>
    </w:p>
    <w:p>
      <w:pPr>
        <w:spacing w:after="0" w:line="159"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7"/>
          <w:szCs w:val="17"/>
          <w:color w:val="auto"/>
        </w:rPr>
        <w:t xml:space="preserve">For the fiscal year ended March 31, 2025, net loss was $4,478.9, as compared to a net loss of $3,744.2 in the prior year. Basic and diluted loss per share for the fiscal year ended March 31, 2025 was $25.58, as compared to basic and diluted loss per share of $22.01 for the fiscal year ended March 31, 2024. Basic weighted average shares of 175.1 were 5.0 higher as compared to the prior year period basic weighted average shares, primarily due to stock issued as consideration for the acquisition of Gearbox, as well as normal stock compensation activity, including vests as well as grants and forfeitures in the prior year being fully outstanding in the current year. See </w:t>
      </w:r>
      <w:r>
        <w:rPr>
          <w:rFonts w:ascii="Times New Roman" w:cs="Times New Roman" w:eastAsia="Times New Roman" w:hAnsi="Times New Roman"/>
          <w:sz w:val="17"/>
          <w:szCs w:val="17"/>
          <w:u w:val="single" w:color="auto"/>
          <w:color w:val="0000FF"/>
        </w:rPr>
        <w:t>Note 12 - Loss Per Share</w:t>
      </w:r>
      <w:r>
        <w:rPr>
          <w:rFonts w:ascii="Times New Roman" w:cs="Times New Roman" w:eastAsia="Times New Roman" w:hAnsi="Times New Roman"/>
          <w:sz w:val="17"/>
          <w:szCs w:val="17"/>
          <w:color w:val="auto"/>
        </w:rPr>
        <w:t xml:space="preserve"> to our Consolidated Financial Statements for additional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44" w:lineRule="exact"/>
        <w:rPr>
          <w:sz w:val="20"/>
          <w:szCs w:val="20"/>
          <w:color w:val="auto"/>
        </w:rPr>
      </w:pPr>
    </w:p>
    <w:p>
      <w:pPr>
        <w:jc w:val="both"/>
        <w:ind w:firstLine="263"/>
        <w:spacing w:after="0" w:line="264" w:lineRule="auto"/>
        <w:rPr>
          <w:sz w:val="20"/>
          <w:szCs w:val="20"/>
          <w:color w:val="auto"/>
        </w:rPr>
      </w:pPr>
      <w:r>
        <w:rPr>
          <w:rFonts w:ascii="Times New Roman" w:cs="Times New Roman" w:eastAsia="Times New Roman" w:hAnsi="Times New Roman"/>
          <w:sz w:val="17"/>
          <w:szCs w:val="17"/>
          <w:color w:val="auto"/>
        </w:rPr>
        <w:t xml:space="preserve">Our primary cash requirements are to fund (i) the development, manufacturing and marketing of our published products, (ii) working capital, (iii) capital expenditures, (iv) debt and interest payments, (v) tax payments, and (vi) acquisitions. We expect to rely on cash and cash equivalents as well as on short-term investments, funds provided by our operating activities, and our 2022 Credit Agreement to satisfy our working capital needs. Refer to </w:t>
      </w:r>
      <w:r>
        <w:rPr>
          <w:rFonts w:ascii="Times New Roman" w:cs="Times New Roman" w:eastAsia="Times New Roman" w:hAnsi="Times New Roman"/>
          <w:sz w:val="17"/>
          <w:szCs w:val="17"/>
          <w:u w:val="single" w:color="auto"/>
          <w:color w:val="0000FF"/>
        </w:rPr>
        <w:t>Note 11 - Debt</w:t>
      </w:r>
      <w:r>
        <w:rPr>
          <w:rFonts w:ascii="Times New Roman" w:cs="Times New Roman" w:eastAsia="Times New Roman" w:hAnsi="Times New Roman"/>
          <w:sz w:val="17"/>
          <w:szCs w:val="17"/>
          <w:color w:val="auto"/>
        </w:rPr>
        <w:t xml:space="preserve"> for additional discussion of our outstanding debt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59" w:lineRule="exact"/>
        <w:rPr>
          <w:sz w:val="20"/>
          <w:szCs w:val="20"/>
          <w:color w:val="auto"/>
        </w:rPr>
      </w:pPr>
    </w:p>
    <w:p>
      <w:pPr>
        <w:jc w:val="both"/>
        <w:ind w:firstLine="180"/>
        <w:spacing w:after="0" w:line="287" w:lineRule="auto"/>
        <w:rPr>
          <w:sz w:val="20"/>
          <w:szCs w:val="20"/>
          <w:color w:val="auto"/>
        </w:rPr>
      </w:pPr>
      <w:r>
        <w:rPr>
          <w:rFonts w:ascii="Times New Roman" w:cs="Times New Roman" w:eastAsia="Times New Roman" w:hAnsi="Times New Roman"/>
          <w:sz w:val="17"/>
          <w:szCs w:val="17"/>
          <w:color w:val="auto"/>
        </w:rPr>
        <w:t>As of March 31, 2025, we had $9.4 of short-term investments, which primarily consisted of bank time deposits with maturities greater than 90 days. From time to time, we may place additional short-term investments depending on future market conditions and liquidity needs.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2025, we had $3,650.0 of Senior Notes outstanding.</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April 14, 2025, we repaid our 2025 Notes with a principal amount of $600.0.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5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As of March 31, 2025, there were no borrowings under the 2022 Credit Agreement, and we had approximately $747.8 available for additional borrowings.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2026 Convertible Notes mature on December 15, 2026, unless earlier converted, redeemed, or repurchased in accordance with their terms, prior to the maturity date. The 2026 Convertible Notes do not bear regular interest, and the principal amount does not accrete. An aggregate principal amount of $29.4 of the 2026 Convertible Notes remained outstanding at March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Condition</w:t>
      </w:r>
    </w:p>
    <w:p>
      <w:pPr>
        <w:spacing w:after="0" w:line="159" w:lineRule="exact"/>
        <w:rPr>
          <w:sz w:val="20"/>
          <w:szCs w:val="20"/>
          <w:color w:val="auto"/>
        </w:rPr>
      </w:pPr>
    </w:p>
    <w:p>
      <w:pPr>
        <w:jc w:val="both"/>
        <w:ind w:firstLine="212"/>
        <w:spacing w:after="0" w:line="287" w:lineRule="auto"/>
        <w:rPr>
          <w:sz w:val="20"/>
          <w:szCs w:val="20"/>
          <w:color w:val="auto"/>
        </w:rPr>
      </w:pPr>
      <w:r>
        <w:rPr>
          <w:rFonts w:ascii="Times New Roman" w:cs="Times New Roman" w:eastAsia="Times New Roman" w:hAnsi="Times New Roman"/>
          <w:sz w:val="17"/>
          <w:szCs w:val="17"/>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48" w:name="page49"/>
    <w:bookmarkEnd w:id="48"/>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87" w:lineRule="exact"/>
        <w:rPr>
          <w:sz w:val="20"/>
          <w:szCs w:val="20"/>
          <w:color w:val="auto"/>
        </w:rPr>
      </w:pPr>
    </w:p>
    <w:p>
      <w:pPr>
        <w:jc w:val="both"/>
        <w:ind w:firstLine="168"/>
        <w:spacing w:after="0" w:line="256" w:lineRule="auto"/>
        <w:rPr>
          <w:sz w:val="20"/>
          <w:szCs w:val="20"/>
          <w:color w:val="auto"/>
        </w:rPr>
      </w:pPr>
      <w:r>
        <w:rPr>
          <w:rFonts w:ascii="Times New Roman" w:cs="Times New Roman" w:eastAsia="Times New Roman" w:hAnsi="Times New Roman"/>
          <w:sz w:val="17"/>
          <w:szCs w:val="17"/>
          <w:color w:val="auto"/>
        </w:rPr>
        <w:t>A majority of our trade receivables are derived from sales to major retailers, including digital storefronts and platform partners, and distributors. Our five largest customers accounted for 81.0%, 79.8% and 79.6% of net revenue during the fiscal years ended March 31, 2025, 2024 and 2023, respectively. As of March 31, 2025, and 2024, five customers comprised 72.1% and 69.9% of our gross accounts receivable, respectively, with our significant customers (those that individually comprised more than 10% of our gross accounts receivable balance) accounting for 61.0% and 57.7% of such balance at March 31, 2025, and 2024, respectively. We had three customers who accounted for 24.0%, 21.3%, and 15.7% of our gross accounts receivable as of March 31, 2025, and three customers who accounted for 21.8%, 18.1%, and 16.9% of our gross accounts receivable as of March 31, 2024. We did not have any additional customers that exceeded 10% of our gross accounts receivable as of March 31, 2025, and 2024. Based upon 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 although we actively monitor each customer's creditworthiness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spacing w:after="0" w:line="1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our current cash and cash equivalents, short-term investments, and projected cash flow from operations, along with availability under our 2022 Credit Agreement will provide us with sufficient liquidity to satisfy our cash requirements for working capital, capital expenditures, and commitments on both a short-term and long-term basis.</w:t>
      </w:r>
    </w:p>
    <w:p>
      <w:pPr>
        <w:spacing w:after="0" w:line="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March 31, 2025, the amount of cash and cash equivalents held outside of the U.S. by our foreign subsidiaries was $791.3.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101" w:lineRule="exact"/>
        <w:rPr>
          <w:sz w:val="20"/>
          <w:szCs w:val="20"/>
          <w:color w:val="auto"/>
        </w:rPr>
      </w:pPr>
    </w:p>
    <w:p>
      <w:pPr>
        <w:jc w:val="both"/>
        <w:ind w:firstLine="200"/>
        <w:spacing w:after="0" w:line="264" w:lineRule="auto"/>
        <w:rPr>
          <w:sz w:val="20"/>
          <w:szCs w:val="20"/>
          <w:color w:val="auto"/>
        </w:rPr>
      </w:pPr>
      <w:r>
        <w:rPr>
          <w:rFonts w:ascii="Times New Roman" w:cs="Times New Roman" w:eastAsia="Times New Roman" w:hAnsi="Times New Roman"/>
          <w:sz w:val="17"/>
          <w:szCs w:val="17"/>
          <w:color w:val="auto"/>
        </w:rPr>
        <w:t>Our Board has authorized the repurchase of up to 21.7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fiscal years ended March 31, 2025, 2024, and 2023, we did not repurchase shares of our common stock. As of March 31, 2025, we had repurchased a total of 11.7 shares of our common stock under the program, and 10.0 shares of our common stock remained available for repurchase under the share repurchase program.</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changes in cash flows were as follows:</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40" w:type="dxa"/>
            <w:vAlign w:val="bottom"/>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(2,876.3)</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1,930.3</w:t>
            </w:r>
          </w:p>
        </w:tc>
        <w:tc>
          <w:tcPr>
            <w:tcW w:w="0" w:type="dxa"/>
            <w:vAlign w:val="bottom"/>
          </w:tcPr>
          <w:p>
            <w:pPr>
              <w:spacing w:after="0"/>
              <w:rPr>
                <w:sz w:val="1"/>
                <w:szCs w:val="1"/>
                <w:color w:val="auto"/>
              </w:rPr>
            </w:pPr>
          </w:p>
        </w:tc>
      </w:tr>
      <w:tr>
        <w:trPr>
          <w:trHeight w:val="168"/>
        </w:trPr>
        <w:tc>
          <w:tcPr>
            <w:tcW w:w="628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7"/>
                <w:szCs w:val="17"/>
                <w:color w:val="auto"/>
              </w:rPr>
              <w:t>Effects of foreign currency exchange rates on cash, cash equivalents, and restricted</w:t>
            </w:r>
          </w:p>
        </w:tc>
        <w:tc>
          <w:tcPr>
            <w:tcW w:w="8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cash, cash equivalents, and restricted cash and cash equivalents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173"/>
        <w:spacing w:after="0" w:line="263" w:lineRule="auto"/>
        <w:rPr>
          <w:sz w:val="20"/>
          <w:szCs w:val="20"/>
          <w:color w:val="auto"/>
        </w:rPr>
      </w:pPr>
      <w:r>
        <w:rPr>
          <w:rFonts w:ascii="Times New Roman" w:cs="Times New Roman" w:eastAsia="Times New Roman" w:hAnsi="Times New Roman"/>
          <w:sz w:val="17"/>
          <w:szCs w:val="17"/>
          <w:color w:val="auto"/>
        </w:rPr>
        <w:t xml:space="preserve">At March 31, 2025, we had $1,559.2 of Cash, cash equivalents, and restricted cash and cash equivalents, compared to $1,102.0 at March 31, 2024. The increase was primarily due to Net cash provided by financing activities, primarily related to proceeds from the issuance of our 2029 Notes and 2034 Notes (refer to </w:t>
      </w:r>
      <w:r>
        <w:rPr>
          <w:rFonts w:ascii="Times New Roman" w:cs="Times New Roman" w:eastAsia="Times New Roman" w:hAnsi="Times New Roman"/>
          <w:sz w:val="17"/>
          <w:szCs w:val="17"/>
          <w:u w:val="single" w:color="auto"/>
          <w:color w:val="0000FF"/>
        </w:rPr>
        <w:t>Note 11</w:t>
      </w:r>
    </w:p>
    <w:p>
      <w:pPr>
        <w:spacing w:after="0" w:line="1" w:lineRule="exact"/>
        <w:rPr>
          <w:sz w:val="20"/>
          <w:szCs w:val="20"/>
          <w:color w:val="auto"/>
        </w:rPr>
      </w:pPr>
    </w:p>
    <w:p>
      <w:pPr>
        <w:jc w:val="both"/>
        <w:ind w:firstLine="3"/>
        <w:spacing w:after="0" w:line="259" w:lineRule="auto"/>
        <w:tabs>
          <w:tab w:leader="none" w:pos="100" w:val="left"/>
        </w:tabs>
        <w:numPr>
          <w:ilvl w:val="0"/>
          <w:numId w:val="19"/>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000000"/>
        </w:rPr>
        <w:t>) and the issuance of common stock. This increase was partially offset by (i) Net cash used in investing activities which was primarily due to the purchase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fixed assets and (i) Net cash used in operating activities, which was primarily due to investments in software development and licenses, partially offset by sales of our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u w:val="single" w:color="auto"/>
          <w:color w:val="0000FF"/>
        </w:rPr>
        <w:t>Note 14 - Commitments and Contingencies</w:t>
      </w:r>
      <w:r>
        <w:rPr>
          <w:rFonts w:ascii="Times New Roman" w:cs="Times New Roman" w:eastAsia="Times New Roman" w:hAnsi="Times New Roman"/>
          <w:sz w:val="17"/>
          <w:szCs w:val="17"/>
          <w:color w:val="auto"/>
        </w:rPr>
        <w:t xml:space="preserve"> to our Consolidated Financial Statements for disclosures regarding our commitments.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 fiscal year 2026, we anticipate capital expenditures to be $145.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59" w:lineRule="exact"/>
        <w:rPr>
          <w:sz w:val="20"/>
          <w:szCs w:val="20"/>
          <w:color w:val="auto"/>
        </w:rPr>
      </w:pPr>
    </w:p>
    <w:p>
      <w:pPr>
        <w:jc w:val="both"/>
        <w:ind w:firstLine="178"/>
        <w:spacing w:after="0" w:line="264" w:lineRule="auto"/>
        <w:rPr>
          <w:sz w:val="20"/>
          <w:szCs w:val="20"/>
          <w:color w:val="auto"/>
        </w:rPr>
      </w:pPr>
      <w:r>
        <w:rPr>
          <w:rFonts w:ascii="Times New Roman" w:cs="Times New Roman" w:eastAsia="Times New Roman" w:hAnsi="Times New Roman"/>
          <w:sz w:val="17"/>
          <w:szCs w:val="17"/>
          <w:color w:val="auto"/>
        </w:rPr>
        <w:t>As of March 31, 2025 and 2024,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 Operations</w:t>
      </w:r>
    </w:p>
    <w:p>
      <w:pPr>
        <w:spacing w:after="0" w:line="157" w:lineRule="exact"/>
        <w:rPr>
          <w:sz w:val="20"/>
          <w:szCs w:val="20"/>
          <w:color w:val="auto"/>
        </w:rPr>
      </w:pPr>
    </w:p>
    <w:p>
      <w:pPr>
        <w:jc w:val="both"/>
        <w:ind w:firstLine="220"/>
        <w:spacing w:after="0" w:line="264" w:lineRule="auto"/>
        <w:rPr>
          <w:sz w:val="20"/>
          <w:szCs w:val="20"/>
          <w:color w:val="auto"/>
        </w:rPr>
      </w:pPr>
      <w:r>
        <w:rPr>
          <w:rFonts w:ascii="Times New Roman" w:cs="Times New Roman" w:eastAsia="Times New Roman" w:hAnsi="Times New Roman"/>
          <w:sz w:val="17"/>
          <w:szCs w:val="17"/>
          <w:color w:val="auto"/>
        </w:rPr>
        <w:t>Net revenue earned outside of the U.S. is principally generated by our operations in Europe, Asia, Australia, Canada and Latin America. For the fiscal years ended March 31, 2025, 2024, and 2023, 39.5%, 38.7%, and 37.2%, respectively, of our net revenue was earned outside the U.S.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Fluctuations in Quarterly Operating Results and Seasonality</w:t>
      </w:r>
    </w:p>
    <w:p>
      <w:pPr>
        <w:spacing w:after="0" w:line="144"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7"/>
          <w:szCs w:val="17"/>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six to fifteen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1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57" w:lineRule="exact"/>
        <w:rPr>
          <w:sz w:val="20"/>
          <w:szCs w:val="20"/>
          <w:color w:val="auto"/>
        </w:rPr>
      </w:pPr>
    </w:p>
    <w:p>
      <w:pPr>
        <w:jc w:val="both"/>
        <w:ind w:firstLine="212"/>
        <w:spacing w:after="0" w:line="287" w:lineRule="auto"/>
        <w:rPr>
          <w:sz w:val="20"/>
          <w:szCs w:val="20"/>
          <w:color w:val="auto"/>
        </w:rPr>
      </w:pPr>
      <w:r>
        <w:rPr>
          <w:rFonts w:ascii="Times New Roman" w:cs="Times New Roman" w:eastAsia="Times New Roman" w:hAnsi="Times New Roman"/>
          <w:sz w:val="17"/>
          <w:szCs w:val="17"/>
          <w:color w:val="auto"/>
        </w:rPr>
        <w:t>Market risk is the potential loss arising from fluctuations in market rates and prices. Our market risk exposures primarily include fluctuations in interest rates and foreign currency exchange rates.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exposure to fluctuations in interest rates relates primarily to our short-term investment portfolio and variable rate debt under the 2022 Credit Agreement.</w:t>
      </w:r>
    </w:p>
    <w:p>
      <w:pPr>
        <w:spacing w:after="0" w:line="153" w:lineRule="exact"/>
        <w:rPr>
          <w:sz w:val="20"/>
          <w:szCs w:val="20"/>
          <w:color w:val="auto"/>
        </w:rPr>
      </w:pPr>
    </w:p>
    <w:p>
      <w:pPr>
        <w:jc w:val="both"/>
        <w:ind w:firstLine="169"/>
        <w:spacing w:after="0" w:line="261" w:lineRule="auto"/>
        <w:rPr>
          <w:sz w:val="20"/>
          <w:szCs w:val="20"/>
          <w:color w:val="auto"/>
        </w:rPr>
      </w:pPr>
      <w:r>
        <w:rPr>
          <w:rFonts w:ascii="Times New Roman" w:cs="Times New Roman" w:eastAsia="Times New Roman" w:hAnsi="Times New Roman"/>
          <w:sz w:val="17"/>
          <w:szCs w:val="17"/>
          <w:color w:val="auto"/>
        </w:rPr>
        <w:t>We seek to manage our interest rate risk by maintaining a short-term investment portfolio that includes corporate bonds with high credit quality and maturities of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97" w:lineRule="exact"/>
        <w:rPr>
          <w:sz w:val="20"/>
          <w:szCs w:val="20"/>
          <w:color w:val="auto"/>
        </w:rPr>
      </w:pPr>
    </w:p>
    <w:p>
      <w:pPr>
        <w:jc w:val="both"/>
        <w:ind w:firstLine="169"/>
        <w:spacing w:after="0" w:line="270" w:lineRule="auto"/>
        <w:rPr>
          <w:sz w:val="20"/>
          <w:szCs w:val="20"/>
          <w:color w:val="auto"/>
        </w:rPr>
      </w:pPr>
      <w:r>
        <w:rPr>
          <w:rFonts w:ascii="Times New Roman" w:cs="Times New Roman" w:eastAsia="Times New Roman" w:hAnsi="Times New Roman"/>
          <w:sz w:val="17"/>
          <w:szCs w:val="17"/>
          <w:color w:val="auto"/>
        </w:rPr>
        <w:t>As of March 31, 2025, we had $9.4 of short-term investments. We also had $1,456.1 of cash and cash equivalents that are comprised primarily of money market funds and bank-time deposits. We determined that, based on the composition of our investment portfolio, there was no material interest rate risk exposure to our Consolidated Financial Statements or liquidity as of March 31, 2025.</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Historically, fluctuations in interest rates have not had a significant effect on our operating results.</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our 2022 Credit Agreement, loans will bear interest at our election of (a) 0.000% to 0.625% above a certain base rate (7.50% at March 31, 2025) or</w:t>
      </w:r>
    </w:p>
    <w:p>
      <w:pPr>
        <w:spacing w:after="0" w:line="28" w:lineRule="exact"/>
        <w:rPr>
          <w:sz w:val="20"/>
          <w:szCs w:val="20"/>
          <w:color w:val="auto"/>
        </w:rPr>
      </w:pPr>
    </w:p>
    <w:p>
      <w:pPr>
        <w:ind w:left="240" w:hanging="23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 to 1.625% above Secured Overnight Financing Rate, approximately 4.33%</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0" w:name="page51"/>
    <w:bookmarkEnd w:id="50"/>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2025, which are determined by the Company's credit rating. At March 31, 2025, there were no outstanding borrowings under our 2022 Credit Agreement.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157" w:lineRule="exact"/>
        <w:rPr>
          <w:sz w:val="20"/>
          <w:szCs w:val="20"/>
          <w:color w:val="auto"/>
        </w:rPr>
      </w:pPr>
    </w:p>
    <w:p>
      <w:pPr>
        <w:jc w:val="both"/>
        <w:ind w:firstLine="203"/>
        <w:spacing w:after="0" w:line="258" w:lineRule="auto"/>
        <w:rPr>
          <w:sz w:val="20"/>
          <w:szCs w:val="20"/>
          <w:color w:val="auto"/>
        </w:rPr>
      </w:pPr>
      <w:r>
        <w:rPr>
          <w:rFonts w:ascii="Times New Roman" w:cs="Times New Roman" w:eastAsia="Times New Roman" w:hAnsi="Times New Roman"/>
          <w:sz w:val="17"/>
          <w:szCs w:val="17"/>
          <w:color w:val="auto"/>
        </w:rPr>
        <w:t>We transact business in foreign currencies and are exposed to risks resulting from fluctuations in foreign currency exchange rates. In particular, during the six months ended September 30, 2023, there was a significant devaluation of the Turkish Lira against the U.S. Dollar, which negatively affected our results. It is possible that further devaluations could occur, which would have a negative impact on our results. Accounts relating to foreign operations are translated into U.S. dollars using prevailing exchange rates at the relevant period end. Translation adjustments are included as a separate component of Stockholders' equity on our Consolidated Balance Sheets. For the fiscal years ended March 31, 2025 and 2024, our foreign currency translation adjustment was a gain of $8.2 and a gain of $6.7, respectively. We recognized foreign currency exchange transaction losses of $22.6, $28.6, and $31.8 for the fiscal years ended March 31, 2025, 2024, and 2023, respectively, in Interest and other, net in our Consolidated Statements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Balance Sheet Hedging Activities</w:t>
      </w:r>
    </w:p>
    <w:p>
      <w:pPr>
        <w:spacing w:after="0" w:line="157" w:lineRule="exact"/>
        <w:rPr>
          <w:sz w:val="20"/>
          <w:szCs w:val="20"/>
          <w:color w:val="auto"/>
        </w:rPr>
      </w:pPr>
    </w:p>
    <w:p>
      <w:pPr>
        <w:jc w:val="both"/>
        <w:ind w:firstLine="198"/>
        <w:spacing w:after="0" w:line="256" w:lineRule="auto"/>
        <w:rPr>
          <w:sz w:val="20"/>
          <w:szCs w:val="20"/>
          <w:color w:val="auto"/>
        </w:rPr>
      </w:pPr>
      <w:r>
        <w:rPr>
          <w:rFonts w:ascii="Times New Roman" w:cs="Times New Roman" w:eastAsia="Times New Roman" w:hAnsi="Times New Roman"/>
          <w:sz w:val="17"/>
          <w:szCs w:val="17"/>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Consolidated Balance Sheets, and gains and losses resulting from changes in the fair value are reported in Interest and other, net, in our Consolidated Statements of Operations. We do not enter into derivative financial contracts for speculative or trading purposes. At March 31, 2025, we had $97.0 of forward contracts outstanding to buy foreign currencies in exchange for U.S. dollars and $299.8 of forward contracts outstanding to sell foreign currencies in exchange for U.S. dollars all of which have maturities of less than one year. At March 31, 2024, we had $72.2 of forward contracts outstanding to buy foreign currencies in exchange for U.S. dollars and $243.0 of forward contracts outstanding to sell foreign currencies in exchange for U.S. dollars all of which have maturities of less than one year. For the fiscal years ended March 31, 2025, 2024 and 2023, we recorded a gain of $5.3, a gain of $5.3, and a loss of $15.1, respectively, related to foreign currency forward contracts in Interest and other, net on our Consolidated Statements of Operations. As of March 31, 2025 and 2024, the fair values of these outstanding forward contracts were immaterial, and were included in Accrued expenses and other current liabilities when in a loss position, or in Prepaid expenses and other when in a gain position. The fair value of these outstanding forward contracts is estimated based on the prevailing exchange rates of the various hedged currencies as of the end of the period.</w:t>
      </w:r>
    </w:p>
    <w:p>
      <w:pPr>
        <w:spacing w:after="0" w:line="113"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7"/>
          <w:szCs w:val="17"/>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For the fiscal year ended March 31, 2025, 39.5% of our revenue was generated outside the U.S. Using sensitivity analysis, a hypothetical 10% increase in the value of the U.S. dollar against all currencies would decrease revenue by 4.0%, while a hypothetical 10% decrease in the value of the U.S. dollar against all currencies would increase revenue by 4.0%. In our opinion, a substantial portion of this fluctuation would be offset by cost of revenue and operating expenses incurred in local currency.</w:t>
      </w:r>
    </w:p>
    <w:p>
      <w:pPr>
        <w:spacing w:after="0" w:line="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157" w:lineRule="exact"/>
        <w:rPr>
          <w:sz w:val="20"/>
          <w:szCs w:val="20"/>
          <w:color w:val="auto"/>
        </w:rPr>
      </w:pPr>
    </w:p>
    <w:p>
      <w:pPr>
        <w:jc w:val="both"/>
        <w:ind w:firstLine="233"/>
        <w:spacing w:after="0" w:line="264" w:lineRule="auto"/>
        <w:rPr>
          <w:sz w:val="20"/>
          <w:szCs w:val="20"/>
          <w:color w:val="auto"/>
        </w:rPr>
      </w:pPr>
      <w:r>
        <w:rPr>
          <w:rFonts w:ascii="Times New Roman" w:cs="Times New Roman" w:eastAsia="Times New Roman" w:hAnsi="Times New Roman"/>
          <w:sz w:val="17"/>
          <w:szCs w:val="17"/>
          <w:color w:val="auto"/>
        </w:rPr>
        <w:t xml:space="preserve">The financial statements and supplementary data appear in a separate section of this Form 10-K following Part IV. We provide details of our valuation and qualifying accounts in </w:t>
      </w:r>
      <w:r>
        <w:rPr>
          <w:rFonts w:ascii="Times New Roman" w:cs="Times New Roman" w:eastAsia="Times New Roman" w:hAnsi="Times New Roman"/>
          <w:sz w:val="17"/>
          <w:szCs w:val="17"/>
          <w:u w:val="single" w:color="auto"/>
          <w:color w:val="0000FF"/>
        </w:rPr>
        <w:t>Note 19 - Supplementary Financial Information</w:t>
      </w:r>
      <w:r>
        <w:rPr>
          <w:rFonts w:ascii="Times New Roman" w:cs="Times New Roman" w:eastAsia="Times New Roman" w:hAnsi="Times New Roman"/>
          <w:sz w:val="17"/>
          <w:szCs w:val="17"/>
          <w:color w:val="auto"/>
        </w:rPr>
        <w:t xml:space="preserve"> to our Consolidated Financial Statements. All schedules have been omitted since the information required to be submitted has been included on our Consolidated Financial Statements or notes thereto or has been omitted as not applicable or not required.</w:t>
      </w:r>
    </w:p>
    <w:p>
      <w:pPr>
        <w:spacing w:after="0" w:line="10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Disclosure Controls and Procedures</w:t>
      </w:r>
    </w:p>
    <w:p>
      <w:pPr>
        <w:spacing w:after="0" w:line="144" w:lineRule="exact"/>
        <w:rPr>
          <w:sz w:val="20"/>
          <w:szCs w:val="20"/>
          <w:color w:val="auto"/>
        </w:rPr>
      </w:pPr>
    </w:p>
    <w:p>
      <w:pPr>
        <w:jc w:val="both"/>
        <w:ind w:firstLine="304"/>
        <w:spacing w:after="0" w:line="270" w:lineRule="auto"/>
        <w:rPr>
          <w:sz w:val="20"/>
          <w:szCs w:val="20"/>
          <w:color w:val="auto"/>
        </w:rPr>
      </w:pPr>
      <w:r>
        <w:rPr>
          <w:rFonts w:ascii="Times New Roman" w:cs="Times New Roman" w:eastAsia="Times New Roman" w:hAnsi="Times New Roman"/>
          <w:sz w:val="17"/>
          <w:szCs w:val="17"/>
          <w:color w:val="auto"/>
        </w:rPr>
        <w:t>Our disclosure controls and procedures (as defined in Rules 13a-15(e) and 15d-15(e) under the Exchange Act) are designed to reasonably ensure that information required to be disclosed in our reports filed under the Exchange Act is (i) recorded, processed, summarized, and reported within the time periods specified in the Securities and Exchange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1" w:name="page52"/>
    <w:bookmarkEnd w:id="51"/>
    <w:p>
      <w:pPr>
        <w:jc w:val="both"/>
        <w:spacing w:after="0" w:line="287" w:lineRule="auto"/>
        <w:rPr>
          <w:sz w:val="20"/>
          <w:szCs w:val="20"/>
          <w:color w:val="auto"/>
        </w:rPr>
      </w:pPr>
      <w:r>
        <w:rPr>
          <w:rFonts w:ascii="Times New Roman" w:cs="Times New Roman" w:eastAsia="Times New Roman" w:hAnsi="Times New Roman"/>
          <w:sz w:val="17"/>
          <w:szCs w:val="17"/>
          <w:color w:val="auto"/>
        </w:rPr>
        <w:t>Commission's rules and forms and (ii) accumulated and communicated to management, including our principal executive officer and principal financial officer, as appropriate, to allow timely decisions regarding required disclosures.</w:t>
      </w:r>
    </w:p>
    <w:p>
      <w:pPr>
        <w:spacing w:after="0" w:line="87" w:lineRule="exact"/>
        <w:rPr>
          <w:sz w:val="20"/>
          <w:szCs w:val="20"/>
          <w:color w:val="auto"/>
        </w:rPr>
      </w:pPr>
    </w:p>
    <w:p>
      <w:pPr>
        <w:jc w:val="both"/>
        <w:ind w:firstLine="187"/>
        <w:spacing w:after="0" w:line="261" w:lineRule="auto"/>
        <w:rPr>
          <w:sz w:val="20"/>
          <w:szCs w:val="20"/>
          <w:color w:val="auto"/>
        </w:rPr>
      </w:pPr>
      <w:r>
        <w:rPr>
          <w:rFonts w:ascii="Times New Roman" w:cs="Times New Roman" w:eastAsia="Times New Roman" w:hAnsi="Times New Roman"/>
          <w:sz w:val="17"/>
          <w:szCs w:val="17"/>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44" w:lineRule="exact"/>
        <w:rPr>
          <w:sz w:val="20"/>
          <w:szCs w:val="20"/>
          <w:color w:val="auto"/>
        </w:rPr>
      </w:pPr>
    </w:p>
    <w:p>
      <w:pPr>
        <w:jc w:val="both"/>
        <w:ind w:firstLine="260"/>
        <w:spacing w:after="0" w:line="260"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at March 31, 2025, the end of the period covered by this report. Based on this evaluation, the principal executive officer and principal financial officer concluded that, at March 31, 2025, our disclosure controls and procedures were effective to provide reasonable assurance that information required to be disclosed by us in the reports that we file or submit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157" w:lineRule="exact"/>
        <w:rPr>
          <w:sz w:val="20"/>
          <w:szCs w:val="20"/>
          <w:color w:val="auto"/>
        </w:rPr>
      </w:pPr>
    </w:p>
    <w:p>
      <w:pPr>
        <w:jc w:val="both"/>
        <w:ind w:firstLine="253"/>
        <w:spacing w:after="0" w:line="26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Control—Integrated Framework issued by the Committee of Sponsoring Organizations of the Treadway Commission 2013 framework ("COSO"). Based on this evaluation, management has concluded that our internal control over financial reporting was effective as of March 31, 2025.</w:t>
      </w:r>
    </w:p>
    <w:p>
      <w:pPr>
        <w:spacing w:after="0" w:line="94" w:lineRule="exact"/>
        <w:rPr>
          <w:sz w:val="20"/>
          <w:szCs w:val="20"/>
          <w:color w:val="auto"/>
        </w:rPr>
      </w:pPr>
    </w:p>
    <w:p>
      <w:pPr>
        <w:jc w:val="both"/>
        <w:ind w:firstLine="232"/>
        <w:spacing w:after="0" w:line="270" w:lineRule="auto"/>
        <w:rPr>
          <w:sz w:val="20"/>
          <w:szCs w:val="20"/>
          <w:color w:val="auto"/>
        </w:rPr>
      </w:pPr>
      <w:r>
        <w:rPr>
          <w:rFonts w:ascii="Times New Roman" w:cs="Times New Roman" w:eastAsia="Times New Roman" w:hAnsi="Times New Roman"/>
          <w:sz w:val="17"/>
          <w:szCs w:val="17"/>
          <w:color w:val="auto"/>
        </w:rPr>
        <w:t>In accordance with SEC guidance, our management's assessment of the effectiveness of internal control over financial reporting did not include the internal controls of Gearbox, which we acquired in June 2024 and which is included in our March 31, 2025 Consolidated Financial Statements. The acquired business constituted 3.7% of consolidated total assets as of March 31, 2025.</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independent registered public accounting firm, Ernst &amp; Young LLP, has issued an audit report on our internal control over financial reporting, which is included in this Form 10-K.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4" w:lineRule="exact"/>
        <w:rPr>
          <w:sz w:val="20"/>
          <w:szCs w:val="20"/>
          <w:color w:val="auto"/>
        </w:rPr>
      </w:pPr>
    </w:p>
    <w:p>
      <w:pPr>
        <w:jc w:val="both"/>
        <w:ind w:firstLine="180"/>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March 31,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01"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On June 11, 2024, we acquired Gearbox. We are currently in the process of incorporating the internal controls and procedures for Gearbox into our internal control over financial reporting for purposes of our assessment of and report on internal control over financial reporting for the fiscal year ending March 31, 2026.</w:t>
      </w:r>
    </w:p>
    <w:p>
      <w:pPr>
        <w:spacing w:after="0" w:line="3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Trading Plans of Directors and Executive Officers</w:t>
      </w:r>
    </w:p>
    <w:p>
      <w:pPr>
        <w:spacing w:after="0" w:line="15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Section 16 officers and directors, as defined in Rule 16a-1(f) of the Exchange Act, may from time to time enter into plans for the purchase or sale of our common stock that are intended to satisfy the affirmative defense conditions of Rule 10b5-1(c) of the Exchange Act. During the quarter ended March 31, 2025, the following Section 16 officers and directors, as defined in Rule 16a-1(f), adopted, modified, or terminated a "Rule 10b5-1 trading arrangements" (as defined in Item 408 of Regulation S-K):</w:t>
      </w:r>
    </w:p>
    <w:p>
      <w:pPr>
        <w:spacing w:after="0" w:line="10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On March 5, 2025, Ellen Siminoff, a member of our Board of Directors, adopted a new written trading plan. The plan's maximum duration is until June 30, 2026, and the first trade will not occur until June 4, 2025, at the earliest. The trading plan is intended to permit Ms. Siminoff to sell up to an aggregate of 4,954 shares of our common stock.</w:t>
      </w:r>
    </w:p>
    <w:p>
      <w:pPr>
        <w:spacing w:after="0" w:line="88"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No other Section 16 officers or directors, as defined in Rule 16a-1(f), adopted, modified, or terminated a “Rule 10b5-1 trading arrangement” or a “non-Rule 10b5-1 trading arrangement,” as defined in Item 408 of Regulation S-K,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to 2022 Credit Agreement</w:t>
      </w:r>
    </w:p>
    <w:p>
      <w:pPr>
        <w:spacing w:after="0" w:line="15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May 19, 2025, the Company, as borrower, entered into that certain Amendment No. 3 (the “Amendment”) to the Company’s 2022 Credit Agreement (as further amended by the Amendment, the “Amended 2022 Credit Agreement”), by and among JPMorgan Chase Bank, N.A., as Administrative Agent for the lenders, JPMorgan Chase Bank, N.A., and Wells Fargo Bank, National Association as joint lead arrangers and joint bookrunners, and a syndicate of other banks and financial institutions.</w:t>
      </w:r>
    </w:p>
    <w:p>
      <w:pPr>
        <w:spacing w:after="0" w:line="1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Amendment increases the commitments to the revolving credit facility under the existing 2022 Credit Agreement (the “Revolving Credit Facility") to $1,000,000,000 (up from $750,000,000 under the existing 2022 Credit Agreement), with sublimits for (a) the issuance of letters of credit in an aggregate face amount of up to $100,000,000 and (b) borrowings and letters of credit denominated in Pounds Sterling, Euros and Canadian Dollars in an aggregate face amount of up to $200,000,000. The Amended 2022 Credit Agreement will continue to provide uncommitted incremental capacity permitting the incurrence of up to an additional amount not to exceed the greater of $250,000,000 and 35% of the Company’s Consolidated Adjusted EBITDA (as defined in the Amended 2022 Credit Agreement).</w:t>
      </w:r>
    </w:p>
    <w:p>
      <w:pPr>
        <w:spacing w:after="0" w:line="9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Amendment, the maturity date was extended to May 19, 2030, but retains the extension option permitting the Company, subject to certain requirements, to arrange to extend the revolving credit facility for an additional one-year term which may be exercised no more than two times under the Amended 2022 Credit Agreement.</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Revolving Credit Facility continues to bear interest at the election of the company at a margin of (a) 0.000% to 0.625% above an alternate base rate (defined on the basis of prime rate) or (b) 1.000% to 1.625% above the SOFR Rate, which margins are determined by reference to the Company’s credit rating.</w:t>
      </w:r>
    </w:p>
    <w:p>
      <w:pPr>
        <w:spacing w:after="0" w:line="8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Amended 2022 Credit Agreement includes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Amended 2022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9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Amendment does not purport to be complete and is qualified in its entirety by reference to the Amendment, a copy of which is attached as Exhibit 10.41 hereto and is incorporated by reference herein.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Purchase Agreement</w:t>
      </w:r>
    </w:p>
    <w:p>
      <w:pPr>
        <w:spacing w:after="0" w:line="15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May 19, 2025, the Company and Zynga Inc., as sellers (the “Sellers”), entered into a Receivables Purchase Agreement (the “Receivable Purchase Agreement”) with Wells Fargo Bank, N.A., as administrative agent and purchaser thereunder (“Wells Fargo”).</w:t>
      </w:r>
    </w:p>
    <w:p>
      <w:pPr>
        <w:spacing w:after="0" w:line="7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Receivables Purchase Agreement provides for an uncommitted receivables purchase facility in an initial aggregate amount of up to $215,000,000, whereby Wells Fargo may purchase from the Sellers, and the Sellers may sell to Wells Fargo, accounts receivables (“Receivables”) owed by certain debtors to the Sellers on the terms and conditions set forth therein (each purchase and sale, a “Sale of Accounts Receivable”).</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the Receivables Purchase Agreement, each Sale of Accounts Receivable, is made at a purchase price based on a margin of 0.95% or 0.90% (which margins have been determined in advance for each class of Receivable) above the SOFR Rate.</w:t>
      </w:r>
    </w:p>
    <w:p>
      <w:pPr>
        <w:spacing w:after="0" w:line="8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purchase price may be adjusted after each Sale of Accounts Receivable, to reflect true up statements or reductions to the net face amount of such Receivables.</w:t>
      </w:r>
    </w:p>
    <w:p>
      <w:pPr>
        <w:spacing w:after="0" w:line="7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Sale of Accounts Receivable under the Receivable Purchase Agreement shall be made on a “true sale” basis and the Sellers are not responsible for the non-payment of sold Receivables due to the insolvency of the applicable account debtor.</w:t>
      </w:r>
    </w:p>
    <w:p>
      <w:pPr>
        <w:spacing w:after="0" w:line="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Receivables Purchase Agreement includes, among other terms and conditions, customary representations and warranties, affirmative and negative covenants, and repurchase events that may be triggered by the breach of certain covenants by the Sellers or misrepresentations made with respect to the Receivables at the time of sale. In addition, on May 19, 2025, the Company executed a performance undertaking whereby it agreed, for the benefit of Wells Fargo, to cause the due and punctual payment and performance by its subsidiary Zynga Inc., of all its obligations as a Seller under the Receivables Purchase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3" w:name="page54"/>
    <w:bookmarkEnd w:id="53"/>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Receivables Purchase Agreement does not purport to be complete and is qualified in its entirety by reference to the Receivables Purchase Agreement, a copy of which is attached as Exhibit 10.42 hereto and is incorporated by reference herein.</w:t>
      </w:r>
    </w:p>
    <w:p>
      <w:pPr>
        <w:spacing w:after="0" w:line="83" w:lineRule="exact"/>
        <w:rPr>
          <w:sz w:val="20"/>
          <w:szCs w:val="20"/>
          <w:color w:val="auto"/>
        </w:rPr>
      </w:pPr>
    </w:p>
    <w:p>
      <w:pPr>
        <w:ind w:right="542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5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57" w:lineRule="exact"/>
        <w:rPr>
          <w:sz w:val="20"/>
          <w:szCs w:val="20"/>
          <w:color w:val="auto"/>
        </w:rPr>
      </w:pPr>
    </w:p>
    <w:p>
      <w:pPr>
        <w:jc w:val="both"/>
        <w:ind w:firstLine="306"/>
        <w:spacing w:after="0" w:line="260" w:lineRule="auto"/>
        <w:rPr>
          <w:sz w:val="20"/>
          <w:szCs w:val="20"/>
          <w:color w:val="auto"/>
        </w:rPr>
      </w:pPr>
      <w:r>
        <w:rPr>
          <w:rFonts w:ascii="Times New Roman" w:cs="Times New Roman" w:eastAsia="Times New Roman" w:hAnsi="Times New Roman"/>
          <w:sz w:val="17"/>
          <w:szCs w:val="17"/>
          <w:color w:val="auto"/>
        </w:rPr>
        <w:t xml:space="preserve">The information required by this Item is incorporated herein by reference to the sections entitled "Proposal 1—Election of Directors" and "Executive Compensation—Section 16(a) Beneficial Ownership Reporting Compliance" in our definitive Proxy Statement (the "Proxy Statement") for the Annual Meeting of Stockholders to be held in 2025. We intend to file the Proxy Statement within 120 days after the end of the fiscal year (i.e. on or before July 29, 2025). Our Code of Business Conduct and Ethics applicable to our directors and all employees, including senior financial officers, is available on our website at </w:t>
      </w:r>
      <w:r>
        <w:rPr>
          <w:rFonts w:ascii="Times New Roman" w:cs="Times New Roman" w:eastAsia="Times New Roman" w:hAnsi="Times New Roman"/>
          <w:sz w:val="17"/>
          <w:szCs w:val="17"/>
          <w:i w:val="1"/>
          <w:iCs w:val="1"/>
          <w:color w:val="auto"/>
        </w:rPr>
        <w:t>www.take2games.com</w:t>
      </w:r>
      <w:r>
        <w:rPr>
          <w:rFonts w:ascii="Times New Roman" w:cs="Times New Roman" w:eastAsia="Times New Roman" w:hAnsi="Times New Roman"/>
          <w:sz w:val="17"/>
          <w:szCs w:val="17"/>
          <w:color w:val="auto"/>
        </w:rPr>
        <w:t>. If we make any amendment to our Code of Business Conduct and Ethics that is required to be disclosed pursuant to the Exchange Act,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make such disclosures on our website.</w:t>
      </w:r>
    </w:p>
    <w:p>
      <w:pPr>
        <w:spacing w:after="0" w:line="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 entitled "Executive Compensation" in our Proxy Statement.</w:t>
      </w:r>
    </w:p>
    <w:p>
      <w:pPr>
        <w:spacing w:after="0" w:line="14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44" w:lineRule="exact"/>
        <w:rPr>
          <w:sz w:val="20"/>
          <w:szCs w:val="20"/>
          <w:color w:val="auto"/>
        </w:rPr>
      </w:pPr>
    </w:p>
    <w:p>
      <w:pPr>
        <w:jc w:val="both"/>
        <w:ind w:firstLine="187"/>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sections entitled "Voting Security Ownership of Certain Beneficial Owners and Management" and "Equity Compensation Plan Information" in our Proxy Statement.</w:t>
      </w:r>
    </w:p>
    <w:p>
      <w:pPr>
        <w:spacing w:after="0" w:line="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57" w:lineRule="exact"/>
        <w:rPr>
          <w:sz w:val="20"/>
          <w:szCs w:val="20"/>
          <w:color w:val="auto"/>
        </w:rPr>
      </w:pPr>
    </w:p>
    <w:p>
      <w:pPr>
        <w:jc w:val="both"/>
        <w:ind w:firstLine="194"/>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 entitled "Certain Relationships and Related Transactions" in our Proxy Statement.</w:t>
      </w:r>
    </w:p>
    <w:p>
      <w:pPr>
        <w:spacing w:after="0" w:line="7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 entitled "Independent Auditor Fee Information"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5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tab/>
        <w:t>Exhibits, Financial Statement Schedules</w:t>
      </w:r>
    </w:p>
    <w:p>
      <w:pPr>
        <w:spacing w:after="0" w:line="157"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Statements. See Index to Financial Statements on page </w:t>
      </w:r>
      <w:r>
        <w:rPr>
          <w:rFonts w:ascii="Times New Roman" w:cs="Times New Roman" w:eastAsia="Times New Roman" w:hAnsi="Times New Roman"/>
          <w:sz w:val="17"/>
          <w:szCs w:val="17"/>
          <w:u w:val="single" w:color="auto"/>
          <w:color w:val="0000FF"/>
        </w:rPr>
        <w:t>60</w:t>
      </w:r>
      <w:r>
        <w:rPr>
          <w:rFonts w:ascii="Times New Roman" w:cs="Times New Roman" w:eastAsia="Times New Roman" w:hAnsi="Times New Roman"/>
          <w:sz w:val="17"/>
          <w:szCs w:val="17"/>
          <w:color w:val="auto"/>
        </w:rPr>
        <w:t xml:space="preserve"> of this Report.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Statement Schedule. See </w:t>
      </w:r>
      <w:r>
        <w:rPr>
          <w:rFonts w:ascii="Times New Roman" w:cs="Times New Roman" w:eastAsia="Times New Roman" w:hAnsi="Times New Roman"/>
          <w:sz w:val="17"/>
          <w:szCs w:val="17"/>
          <w:u w:val="single" w:color="auto"/>
          <w:color w:val="0000FF"/>
        </w:rPr>
        <w:t>Note 19 - Supplementary Financial Information</w:t>
      </w:r>
      <w:r>
        <w:rPr>
          <w:rFonts w:ascii="Times New Roman" w:cs="Times New Roman" w:eastAsia="Times New Roman" w:hAnsi="Times New Roman"/>
          <w:sz w:val="17"/>
          <w:szCs w:val="17"/>
          <w:color w:val="auto"/>
        </w:rPr>
        <w:t xml:space="preserve"> to our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Index to Exhibits: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80" w:type="dxa"/>
            <w:vAlign w:val="bottom"/>
            <w:gridSpan w:val="18"/>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80" w:type="dxa"/>
            <w:vAlign w:val="bottom"/>
            <w:gridSpan w:val="18"/>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179"/>
        </w:trPr>
        <w:tc>
          <w:tcPr>
            <w:tcW w:w="134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40" w:type="dxa"/>
            <w:vAlign w:val="bottom"/>
            <w:tcBorders>
              <w:top w:val="single" w:sz="8" w:color="auto"/>
              <w:bottom w:val="single" w:sz="8" w:color="0000FF"/>
            </w:tcBorders>
            <w:gridSpan w:val="6"/>
          </w:tcPr>
          <w:p>
            <w:pPr>
              <w:spacing w:after="0" w:line="179"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Restated Certificate of Incorporation</w:t>
              </w:r>
            </w:hyperlink>
          </w:p>
        </w:tc>
        <w:tc>
          <w:tcPr>
            <w:tcW w:w="2820" w:type="dxa"/>
            <w:vAlign w:val="bottom"/>
            <w:tcBorders>
              <w:top w:val="single" w:sz="8" w:color="auto"/>
            </w:tcBorders>
            <w:gridSpan w:val="15"/>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color w:val="auto"/>
              </w:rPr>
              <w:t>10-K</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color w:val="auto"/>
              </w:rPr>
              <w:t>2/12/2004</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Certificate of Amendment of Restated Certificate of Incorporation, dated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2/12/2004</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April 30, 1998</w:t>
              </w:r>
            </w:hyperlink>
          </w:p>
        </w:tc>
        <w:tc>
          <w:tcPr>
            <w:tcW w:w="40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Certificate of Amendment of Restated Certificate of Incorporation, dated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2/12/2004</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November 17, 2003</w:t>
              </w:r>
            </w:hyperlink>
          </w:p>
        </w:tc>
        <w:tc>
          <w:tcPr>
            <w:tcW w:w="36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Certificate of Amendment of Restated Certificate of Incorporation, dated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4/23/2009</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April 23, 2009</w:t>
              </w:r>
            </w:hyperlink>
          </w:p>
        </w:tc>
        <w:tc>
          <w:tcPr>
            <w:tcW w:w="40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Certificate of Amendment of Restated Certificate of Incorporation, dated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9/24/2012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2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September 21, 2012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Certificate of Amendment of Restated Certificate of Incorporation, dated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5/26/2022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2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May 20,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Certificate of Designation of Series A Preferred Stock, dated March 11, 1998</w:t>
              </w:r>
            </w:hyperlink>
          </w:p>
        </w:tc>
        <w:tc>
          <w:tcPr>
            <w:tcW w:w="160" w:type="dxa"/>
            <w:vAlign w:val="bottom"/>
            <w:gridSpan w:val="3"/>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2/12/2004</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Certificate of Designation of Series B Preferred Stock, dated March 26, 2008</w:t>
              </w:r>
            </w:hyperlink>
          </w:p>
        </w:tc>
        <w:tc>
          <w:tcPr>
            <w:tcW w:w="140" w:type="dxa"/>
            <w:vAlign w:val="bottom"/>
            <w:gridSpan w:val="2"/>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8-A12B</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3/26/2008</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Take-Two Interactive Software, Inc.'s Fourth Amended and Restated By-</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1/6/2023</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Laws, as adopted and effective on January 4, 2023</w:t>
              </w:r>
            </w:hyperlink>
          </w:p>
        </w:tc>
        <w:tc>
          <w:tcPr>
            <w:tcW w:w="15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Description of Registrant's Securities Registered Pursuant to Section 12 of</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5/22/2024</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the Securities Exchange Act of 1934</w:t>
              </w:r>
            </w:hyperlink>
          </w:p>
        </w:tc>
        <w:tc>
          <w:tcPr>
            <w:tcW w:w="26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Base Indenture, dated as of April 14, 2022, between Take-Two Interactive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Software, Inc. and The Bank of New York Mellon, as Trustee.</w:t>
              </w:r>
            </w:hyperlink>
          </w:p>
        </w:tc>
        <w:tc>
          <w:tcPr>
            <w:tcW w:w="820" w:type="dxa"/>
            <w:vAlign w:val="bottom"/>
            <w:tcBorders>
              <w:top w:val="single" w:sz="8" w:color="0000FF"/>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First Supplemental Indenture, dated as of April 14, 2022, between Take-Two</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Interactive Software, Inc. and The Bank of New York Mellon, as Trustee.</w:t>
              </w:r>
            </w:hyperlink>
          </w:p>
        </w:tc>
        <w:tc>
          <w:tcPr>
            <w:tcW w:w="2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Second Supplemental Indenture, dated as of April 14, 2022,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Two Interactive Software, Inc. and The Bank of New York Mellon, as</w:t>
              </w:r>
            </w:hyperlink>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7"/>
              </w:rPr>
            </w:pPr>
            <w:hyperlink r:id="rId81">
              <w:r>
                <w:rPr>
                  <w:rFonts w:ascii="Times New Roman" w:cs="Times New Roman" w:eastAsia="Times New Roman" w:hAnsi="Times New Roman"/>
                  <w:sz w:val="17"/>
                  <w:szCs w:val="17"/>
                  <w:color w:val="0000FF"/>
                  <w:w w:val="97"/>
                </w:rPr>
                <w:t>Trustee.</w:t>
              </w:r>
            </w:hyperlink>
          </w:p>
        </w:tc>
        <w:tc>
          <w:tcPr>
            <w:tcW w:w="4240" w:type="dxa"/>
            <w:vAlign w:val="bottom"/>
            <w:tcBorders>
              <w:top w:val="single" w:sz="8" w:color="0000FF"/>
            </w:tcBorders>
            <w:gridSpan w:val="8"/>
          </w:tcPr>
          <w:p>
            <w:pPr>
              <w:spacing w:after="0"/>
              <w:rPr>
                <w:sz w:val="12"/>
                <w:szCs w:val="12"/>
                <w:color w:val="auto"/>
              </w:rPr>
            </w:pPr>
          </w:p>
        </w:tc>
        <w:tc>
          <w:tcPr>
            <w:tcW w:w="2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Third Supplemental Indenture, dated as of April 14, 2022,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Two Interactive Software, Inc. and The Bank of New York Mellon, as</w:t>
              </w:r>
            </w:hyperlink>
          </w:p>
        </w:tc>
        <w:tc>
          <w:tcPr>
            <w:tcW w:w="80" w:type="dxa"/>
            <w:vAlign w:val="bottom"/>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7"/>
              </w:rPr>
            </w:pPr>
            <w:hyperlink r:id="rId82">
              <w:r>
                <w:rPr>
                  <w:rFonts w:ascii="Times New Roman" w:cs="Times New Roman" w:eastAsia="Times New Roman" w:hAnsi="Times New Roman"/>
                  <w:sz w:val="17"/>
                  <w:szCs w:val="17"/>
                  <w:color w:val="0000FF"/>
                  <w:w w:val="97"/>
                </w:rPr>
                <w:t>Trustee.</w:t>
              </w:r>
            </w:hyperlink>
          </w:p>
        </w:tc>
        <w:tc>
          <w:tcPr>
            <w:tcW w:w="4240" w:type="dxa"/>
            <w:vAlign w:val="bottom"/>
            <w:tcBorders>
              <w:top w:val="single" w:sz="8" w:color="0000FF"/>
            </w:tcBorders>
            <w:gridSpan w:val="8"/>
          </w:tcPr>
          <w:p>
            <w:pPr>
              <w:spacing w:after="0"/>
              <w:rPr>
                <w:sz w:val="12"/>
                <w:szCs w:val="12"/>
                <w:color w:val="auto"/>
              </w:rPr>
            </w:pPr>
          </w:p>
        </w:tc>
        <w:tc>
          <w:tcPr>
            <w:tcW w:w="340" w:type="dxa"/>
            <w:vAlign w:val="bottom"/>
            <w:gridSpan w:val="7"/>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Fourth Supplemental Indenture, dated as of April 14, 2022,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Two Interactive Software, Inc. and The Bank of New York Mellon, as</w:t>
              </w:r>
            </w:hyperlink>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7"/>
              </w:rPr>
            </w:pPr>
            <w:hyperlink r:id="rId83">
              <w:r>
                <w:rPr>
                  <w:rFonts w:ascii="Times New Roman" w:cs="Times New Roman" w:eastAsia="Times New Roman" w:hAnsi="Times New Roman"/>
                  <w:sz w:val="17"/>
                  <w:szCs w:val="17"/>
                  <w:color w:val="0000FF"/>
                  <w:w w:val="97"/>
                </w:rPr>
                <w:t>Trustee.</w:t>
              </w:r>
            </w:hyperlink>
          </w:p>
        </w:tc>
        <w:tc>
          <w:tcPr>
            <w:tcW w:w="4240" w:type="dxa"/>
            <w:vAlign w:val="bottom"/>
            <w:tcBorders>
              <w:top w:val="single" w:sz="8" w:color="0000FF"/>
            </w:tcBorders>
            <w:gridSpan w:val="8"/>
          </w:tcPr>
          <w:p>
            <w:pPr>
              <w:spacing w:after="0"/>
              <w:rPr>
                <w:sz w:val="12"/>
                <w:szCs w:val="12"/>
                <w:color w:val="auto"/>
              </w:rPr>
            </w:pPr>
          </w:p>
        </w:tc>
        <w:tc>
          <w:tcPr>
            <w:tcW w:w="5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Fifth Supplemental Indenture, dated as of April 14, 2023, between Take-Two</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Interactive Software, Inc. and The Bank of New York Mellon, as Trustee.</w:t>
              </w:r>
            </w:hyperlink>
          </w:p>
        </w:tc>
        <w:tc>
          <w:tcPr>
            <w:tcW w:w="2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Sixth Supplemental Indenture, dated as of April 14, 2023, between Take-Two</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Interactive Software, Inc. and The Bank of New York Mellon, as Trustee.</w:t>
              </w:r>
            </w:hyperlink>
          </w:p>
        </w:tc>
        <w:tc>
          <w:tcPr>
            <w:tcW w:w="240" w:type="dxa"/>
            <w:vAlign w:val="bottom"/>
            <w:tcBorders>
              <w:top w:val="single" w:sz="8" w:color="0000FF"/>
            </w:tcBorders>
            <w:gridSpan w:val="7"/>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2"/>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Seventh Supplemental Indenture, dated as of June 12, 2024,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6/12/2024</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Two Interactive Software, Inc. and The Bank of New York Mellon, as</w:t>
              </w:r>
            </w:hyperlink>
          </w:p>
        </w:tc>
        <w:tc>
          <w:tcPr>
            <w:tcW w:w="300" w:type="dxa"/>
            <w:vAlign w:val="bottom"/>
            <w:gridSpan w:val="5"/>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7"/>
              </w:rPr>
            </w:pPr>
            <w:hyperlink r:id="rId86">
              <w:r>
                <w:rPr>
                  <w:rFonts w:ascii="Times New Roman" w:cs="Times New Roman" w:eastAsia="Times New Roman" w:hAnsi="Times New Roman"/>
                  <w:sz w:val="17"/>
                  <w:szCs w:val="17"/>
                  <w:color w:val="0000FF"/>
                  <w:w w:val="97"/>
                </w:rPr>
                <w:t>Trustee.</w:t>
              </w:r>
            </w:hyperlink>
          </w:p>
        </w:tc>
        <w:tc>
          <w:tcPr>
            <w:tcW w:w="4240" w:type="dxa"/>
            <w:vAlign w:val="bottom"/>
            <w:tcBorders>
              <w:top w:val="single" w:sz="8" w:color="0000FF"/>
            </w:tcBorders>
            <w:gridSpan w:val="8"/>
          </w:tcPr>
          <w:p>
            <w:pPr>
              <w:spacing w:after="0"/>
              <w:rPr>
                <w:sz w:val="12"/>
                <w:szCs w:val="12"/>
                <w:color w:val="auto"/>
              </w:rPr>
            </w:pPr>
          </w:p>
        </w:tc>
        <w:tc>
          <w:tcPr>
            <w:tcW w:w="660" w:type="dxa"/>
            <w:vAlign w:val="bottom"/>
            <w:gridSpan w:val="13"/>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7"/>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9"/>
          </w:tcPr>
          <w:p>
            <w:pPr>
              <w:jc w:val="right"/>
              <w:ind w:right="40"/>
              <w:spacing w:after="0"/>
              <w:rPr>
                <w:sz w:val="20"/>
                <w:szCs w:val="20"/>
                <w:color w:val="auto"/>
              </w:rPr>
            </w:pPr>
            <w:r>
              <w:rPr>
                <w:rFonts w:ascii="Times New Roman" w:cs="Times New Roman" w:eastAsia="Times New Roman" w:hAnsi="Times New Roman"/>
                <w:sz w:val="17"/>
                <w:szCs w:val="17"/>
                <w:color w:val="auto"/>
              </w:rPr>
              <w:t>54</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56" w:name="page57"/>
    <w:bookmarkEnd w:id="56"/>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3"/>
        </w:trPr>
        <w:tc>
          <w:tcPr>
            <w:tcW w:w="13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29"/>
          </w:tcPr>
          <w:p>
            <w:pPr>
              <w:spacing w:after="0" w:line="17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Eighth Supplemental Indenture, dated as of June 12, 2024, between Take-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Two Interactive Software, Inc. and The Bank of New York Mellon, as</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7"/>
                <w:szCs w:val="17"/>
                <w:color w:val="0000FF"/>
                <w:w w:val="97"/>
              </w:rPr>
            </w:pPr>
            <w:hyperlink r:id="rId89">
              <w:r>
                <w:rPr>
                  <w:rFonts w:ascii="Times New Roman" w:cs="Times New Roman" w:eastAsia="Times New Roman" w:hAnsi="Times New Roman"/>
                  <w:sz w:val="17"/>
                  <w:szCs w:val="17"/>
                  <w:color w:val="0000FF"/>
                  <w:w w:val="97"/>
                </w:rPr>
                <w:t>Trustee.</w:t>
              </w:r>
            </w:hyperlink>
          </w:p>
        </w:tc>
        <w:tc>
          <w:tcPr>
            <w:tcW w:w="4240" w:type="dxa"/>
            <w:vAlign w:val="bottom"/>
            <w:tcBorders>
              <w:top w:val="single" w:sz="8" w:color="0000FF"/>
            </w:tcBorders>
            <w:gridSpan w:val="16"/>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Form of Global Note representing 3.300% Senior Notes due 2024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as part of Exhibit 4.3)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Form of Global Note representing 3.550% Senior Notes due 2025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as part of Exhibit 4.4)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Form of Global Note representing 3.700% Senior Notes due 2027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as part of Exhibit 4.5)</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Form of Global Note representing 4.000% Senior Notes due 2032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as part of Exhibit 4.6)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Form of Global Note representing 5.000% Senior Notes due 2026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as part of Exhibit 4.7)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Form of Global Note representing 4.950% Senior Notes due 2028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as part of Exhibit 4.8)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Form of Global Note representing 5.400% Senior Notes due 2029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as part of Exhibit 4.9)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Form of Global Note representing 5.600% Senior Notes due 2034 (included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as part of Exhibit 4.10)</w:t>
              </w:r>
            </w:hyperlink>
          </w:p>
        </w:tc>
        <w:tc>
          <w:tcPr>
            <w:tcW w:w="364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First Supplemental Indenture, dated May 23, 2022, by and among Zynga</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Inc., Zebra MS II, Inc. and Computershare Trust Company, N.A. (as</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successor to Wells Fargo Bank, National Association), as trustee.</w:t>
              </w:r>
            </w:hyperlink>
          </w:p>
        </w:tc>
        <w:tc>
          <w:tcPr>
            <w:tcW w:w="220" w:type="dxa"/>
            <w:vAlign w:val="bottom"/>
            <w:tcBorders>
              <w:top w:val="single" w:sz="8" w:color="0000FF"/>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First Supplemental Indenture, dated May 23, 2022, by and among Zynga</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Inc., Zebra MS II, Inc. and Computershare Trust Company, N.A. (as</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successor to Wells Fargo Bank, National Association), as trustee.</w:t>
              </w:r>
            </w:hyperlink>
          </w:p>
        </w:tc>
        <w:tc>
          <w:tcPr>
            <w:tcW w:w="220" w:type="dxa"/>
            <w:vAlign w:val="bottom"/>
            <w:tcBorders>
              <w:top w:val="single" w:sz="8" w:color="0000FF"/>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Indenture to be entered into between the Company and The Bank of</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7"/>
          </w:tcPr>
          <w:p>
            <w:pPr>
              <w:spacing w:after="0" w:line="16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New York Mellon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Take-Two Interactive Software, Inc. Change in Control Employee Severance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28"/>
          </w:tcPr>
          <w:p>
            <w:pPr>
              <w:spacing w:after="0" w:line="161"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Plan</w:t>
              </w:r>
              <w:r>
                <w:rPr>
                  <w:rFonts w:ascii="Times New Roman" w:cs="Times New Roman" w:eastAsia="Times New Roman" w:hAnsi="Times New Roman"/>
                  <w:sz w:val="18"/>
                  <w:szCs w:val="18"/>
                  <w:color w:val="000000"/>
                  <w:vertAlign w:val="superscript"/>
                </w:rPr>
                <w:t>+</w:t>
              </w:r>
            </w:hyperlink>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Amended and Restated Take-Two Interactive Software, Inc. 2009 Stock</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20"/>
          </w:tcPr>
          <w:p>
            <w:pPr>
              <w:spacing w:after="0" w:line="161"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Incentive Plan, effective as of July 21, 2016</w:t>
              </w:r>
              <w:r>
                <w:rPr>
                  <w:rFonts w:ascii="Times New Roman" w:cs="Times New Roman" w:eastAsia="Times New Roman" w:hAnsi="Times New Roman"/>
                  <w:sz w:val="18"/>
                  <w:szCs w:val="18"/>
                  <w:color w:val="000000"/>
                  <w:vertAlign w:val="superscript"/>
                </w:rPr>
                <w:t>+</w:t>
              </w:r>
            </w:hyperlink>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line="199"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of Employee Restricted Stock Agreement</w:t>
              </w:r>
            </w:hyperlink>
            <w:r>
              <w:rPr>
                <w:rFonts w:ascii="Times New Roman" w:cs="Times New Roman" w:eastAsia="Times New Roman" w:hAnsi="Times New Roman"/>
                <w:sz w:val="22"/>
                <w:szCs w:val="22"/>
                <w:color w:val="000000"/>
                <w:vertAlign w:val="superscript"/>
              </w:rPr>
              <w:t>+</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line="199"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Non-Employee Director Restricted Stock Agreement</w:t>
              </w:r>
            </w:hyperlink>
            <w:r>
              <w:rPr>
                <w:rFonts w:ascii="Times New Roman" w:cs="Times New Roman" w:eastAsia="Times New Roman" w:hAnsi="Times New Roman"/>
                <w:sz w:val="22"/>
                <w:szCs w:val="22"/>
                <w:color w:val="000000"/>
                <w:vertAlign w:val="superscript"/>
              </w:rPr>
              <w:t>+</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top w:val="single" w:sz="8" w:color="0000FF"/>
            </w:tcBorders>
            <w:gridSpan w:val="15"/>
          </w:tcPr>
          <w:p>
            <w:pPr>
              <w:spacing w:after="0" w:line="199"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Employee Restricted Unit Agreement</w:t>
              </w:r>
            </w:hyperlink>
            <w:r>
              <w:rPr>
                <w:rFonts w:ascii="Times New Roman" w:cs="Times New Roman" w:eastAsia="Times New Roman" w:hAnsi="Times New Roman"/>
                <w:sz w:val="22"/>
                <w:szCs w:val="22"/>
                <w:color w:val="000000"/>
                <w:vertAlign w:val="superscript"/>
              </w:rPr>
              <w:t>+</w:t>
            </w:r>
          </w:p>
        </w:tc>
        <w:tc>
          <w:tcPr>
            <w:tcW w:w="1100" w:type="dxa"/>
            <w:vAlign w:val="bottom"/>
            <w:gridSpan w:val="14"/>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line="199"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Employee Restricted Unit Agreement</w:t>
              </w:r>
            </w:hyperlink>
            <w:r>
              <w:rPr>
                <w:rFonts w:ascii="Times New Roman" w:cs="Times New Roman" w:eastAsia="Times New Roman" w:hAnsi="Times New Roman"/>
                <w:sz w:val="22"/>
                <w:szCs w:val="22"/>
                <w:color w:val="000000"/>
                <w:vertAlign w:val="superscript"/>
              </w:rPr>
              <w:t>+</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line="199"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Employee Global Restricted Unit Agreement</w:t>
              </w:r>
            </w:hyperlink>
            <w:r>
              <w:rPr>
                <w:rFonts w:ascii="Times New Roman" w:cs="Times New Roman" w:eastAsia="Times New Roman" w:hAnsi="Times New Roman"/>
                <w:sz w:val="22"/>
                <w:szCs w:val="22"/>
                <w:color w:val="000000"/>
                <w:vertAlign w:val="superscript"/>
              </w:rPr>
              <w:t>+</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tcBorders>
            <w:gridSpan w:val="12"/>
          </w:tcPr>
          <w:p>
            <w:pPr>
              <w:spacing w:after="0" w:line="199"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 xml:space="preserve">Form of Employee Restricted Unit Agreement </w:t>
              </w:r>
            </w:hyperlink>
            <w:r>
              <w:rPr>
                <w:rFonts w:ascii="Times New Roman" w:cs="Times New Roman" w:eastAsia="Times New Roman" w:hAnsi="Times New Roman"/>
                <w:sz w:val="22"/>
                <w:szCs w:val="22"/>
                <w:color w:val="000000"/>
                <w:vertAlign w:val="superscript"/>
              </w:rPr>
              <w:t>+</w:t>
            </w:r>
          </w:p>
        </w:tc>
        <w:tc>
          <w:tcPr>
            <w:tcW w:w="1660" w:type="dxa"/>
            <w:vAlign w:val="bottom"/>
            <w:gridSpan w:val="17"/>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line="199"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Form of Employee Global Restricted Unit Agreement</w:t>
              </w:r>
            </w:hyperlink>
            <w:r>
              <w:rPr>
                <w:rFonts w:ascii="Times New Roman" w:cs="Times New Roman" w:eastAsia="Times New Roman" w:hAnsi="Times New Roman"/>
                <w:sz w:val="22"/>
                <w:szCs w:val="22"/>
                <w:color w:val="000000"/>
                <w:vertAlign w:val="superscript"/>
              </w:rPr>
              <w:t>+</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Form of Employee Global Restricted Unit Agreement Pursuant to the Take-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5"/>
          </w:tcPr>
          <w:p>
            <w:pPr>
              <w:spacing w:after="0" w:line="161"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Two Interactive Software, Inc. 2009 Stock Incentive Plan</w:t>
              </w:r>
              <w:r>
                <w:rPr>
                  <w:rFonts w:ascii="Times New Roman" w:cs="Times New Roman" w:eastAsia="Times New Roman" w:hAnsi="Times New Roman"/>
                  <w:sz w:val="18"/>
                  <w:szCs w:val="18"/>
                  <w:color w:val="000000"/>
                  <w:vertAlign w:val="superscript"/>
                </w:rPr>
                <w:t>+</w:t>
              </w:r>
            </w:hyperlink>
          </w:p>
        </w:tc>
        <w:tc>
          <w:tcPr>
            <w:tcW w:w="14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Amended and Restated Take-Two Interactive Software, Inc. 2017 Stock</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20"/>
          </w:tcPr>
          <w:p>
            <w:pPr>
              <w:spacing w:after="0" w:line="161"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Incentive Plan</w:t>
              </w:r>
              <w:r>
                <w:rPr>
                  <w:rFonts w:ascii="Times New Roman" w:cs="Times New Roman" w:eastAsia="Times New Roman" w:hAnsi="Times New Roman"/>
                  <w:sz w:val="18"/>
                  <w:szCs w:val="18"/>
                  <w:color w:val="000000"/>
                  <w:vertAlign w:val="superscript"/>
                </w:rPr>
                <w:t>+</w:t>
              </w:r>
            </w:hyperlink>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Amendment No. 1 to the Amended and Restated Take-Two Interactive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9"/>
          </w:tcPr>
          <w:p>
            <w:pPr>
              <w:spacing w:after="0" w:line="161"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Software, Inc. 2017 Stock Incentive Plan</w:t>
              </w:r>
              <w:r>
                <w:rPr>
                  <w:rFonts w:ascii="Times New Roman" w:cs="Times New Roman" w:eastAsia="Times New Roman" w:hAnsi="Times New Roman"/>
                  <w:sz w:val="18"/>
                  <w:szCs w:val="18"/>
                  <w:color w:val="000000"/>
                  <w:vertAlign w:val="superscript"/>
                </w:rPr>
                <w:t>+</w:t>
              </w:r>
            </w:hyperlink>
          </w:p>
        </w:tc>
        <w:tc>
          <w:tcPr>
            <w:tcW w:w="1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Amendment to the Amended and Restated Take-Two Interactive Software,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24"/>
          </w:tcPr>
          <w:p>
            <w:pPr>
              <w:spacing w:after="0" w:line="161"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Inc. 2017 Stock Incentive Plan</w:t>
              </w:r>
              <w:r>
                <w:rPr>
                  <w:rFonts w:ascii="Times New Roman" w:cs="Times New Roman" w:eastAsia="Times New Roman" w:hAnsi="Times New Roman"/>
                  <w:sz w:val="18"/>
                  <w:szCs w:val="18"/>
                  <w:color w:val="000000"/>
                  <w:vertAlign w:val="superscript"/>
                </w:rPr>
                <w:t>+</w:t>
              </w:r>
            </w:hyperlink>
          </w:p>
        </w:tc>
        <w:tc>
          <w:tcPr>
            <w:tcW w:w="220" w:type="dxa"/>
            <w:vAlign w:val="bottom"/>
            <w:gridSpan w:val="5"/>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9"/>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Take-Two Interactive Software, Inc. 2017 Stock Incentive Plan Qualified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22"/>
          </w:tcPr>
          <w:p>
            <w:pPr>
              <w:spacing w:after="0" w:line="161"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RSU Sub-Plan for France, effective as of September 15, 2017</w:t>
              </w:r>
              <w:r>
                <w:rPr>
                  <w:rFonts w:ascii="Times New Roman" w:cs="Times New Roman" w:eastAsia="Times New Roman" w:hAnsi="Times New Roman"/>
                  <w:sz w:val="18"/>
                  <w:szCs w:val="18"/>
                  <w:color w:val="000000"/>
                  <w:vertAlign w:val="superscript"/>
                </w:rPr>
                <w:t>+</w:t>
              </w:r>
            </w:hyperlink>
          </w:p>
        </w:tc>
        <w:tc>
          <w:tcPr>
            <w:tcW w:w="340" w:type="dxa"/>
            <w:vAlign w:val="bottom"/>
            <w:gridSpan w:val="7"/>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47"/>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5"/>
          </w:tcPr>
          <w:p>
            <w:pPr>
              <w:ind w:left="4080"/>
              <w:spacing w:after="0"/>
              <w:rPr>
                <w:sz w:val="20"/>
                <w:szCs w:val="20"/>
                <w:color w:val="auto"/>
              </w:rPr>
            </w:pPr>
            <w:r>
              <w:rPr>
                <w:rFonts w:ascii="Times New Roman" w:cs="Times New Roman" w:eastAsia="Times New Roman" w:hAnsi="Times New Roman"/>
                <w:sz w:val="17"/>
                <w:szCs w:val="17"/>
                <w:color w:val="auto"/>
                <w:w w:val="93"/>
              </w:rPr>
              <w:t>55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9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21"/>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6/12/2024</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64"/>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4/14/2023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6/12/2024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6/12/2024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5/26/2022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5/26/2022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2/7/2025</w:t>
            </w: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4.1(B)</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3/7/2008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5"/>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7/28/2016</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Annex 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6/5/2009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6/5/2009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8/1/2012</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10/30/2013</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10/30/2013</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10/30/2013</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10/30/2013</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10/30/2013</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5"/>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7/27/2023</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Annex B</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5"/>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7/27/2017</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Annex 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820" w:space="100"/>
            <w:col w:w="4280"/>
          </w:cols>
          <w:pgMar w:left="320" w:top="1159" w:right="379" w:bottom="1440" w:gutter="0" w:footer="0" w:header="0"/>
        </w:sectPr>
      </w:pPr>
    </w:p>
    <w:bookmarkStart w:id="57" w:name="page58"/>
    <w:bookmarkEnd w:id="57"/>
    <w:p>
      <w:pPr>
        <w:ind w:left="82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51435</wp:posOffset>
            </wp:positionV>
            <wp:extent cx="2717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11020"/>
          </w:cols>
          <w:pgMar w:left="320" w:top="1159" w:right="5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40" w:type="dxa"/>
            <w:vAlign w:val="bottom"/>
            <w:gridSpan w:val="26"/>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3"/>
        </w:trPr>
        <w:tc>
          <w:tcPr>
            <w:tcW w:w="13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9"/>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27"/>
          </w:tcPr>
          <w:p>
            <w:pPr>
              <w:spacing w:after="0" w:line="173"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Take-Two Interactive Software, Inc. 2017 Second Amended and Restated</w:t>
              </w:r>
            </w:hyperlink>
          </w:p>
        </w:tc>
        <w:tc>
          <w:tcPr>
            <w:tcW w:w="10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10-K</w:t>
            </w:r>
          </w:p>
        </w:tc>
        <w:tc>
          <w:tcPr>
            <w:tcW w:w="120" w:type="dxa"/>
            <w:vAlign w:val="bottom"/>
          </w:tcPr>
          <w:p>
            <w:pPr>
              <w:spacing w:after="0"/>
              <w:rPr>
                <w:sz w:val="15"/>
                <w:szCs w:val="15"/>
                <w:color w:val="auto"/>
              </w:rPr>
            </w:pPr>
          </w:p>
        </w:tc>
        <w:tc>
          <w:tcPr>
            <w:tcW w:w="11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5/14/2019</w:t>
            </w:r>
          </w:p>
        </w:tc>
        <w:tc>
          <w:tcPr>
            <w:tcW w:w="100" w:type="dxa"/>
            <w:vAlign w:val="bottom"/>
          </w:tcPr>
          <w:p>
            <w:pPr>
              <w:spacing w:after="0"/>
              <w:rPr>
                <w:sz w:val="15"/>
                <w:szCs w:val="15"/>
                <w:color w:val="auto"/>
              </w:rPr>
            </w:pPr>
          </w:p>
        </w:tc>
        <w:tc>
          <w:tcPr>
            <w:tcW w:w="10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9"/>
              </w:rPr>
              <w:t>10.13</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16"/>
          </w:tcPr>
          <w:p>
            <w:pPr>
              <w:spacing w:after="0" w:line="161"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Global Employee Stock Purchase Plan, effective as of March 28, 2019</w:t>
              </w:r>
              <w:r>
                <w:rPr>
                  <w:rFonts w:ascii="Times New Roman" w:cs="Times New Roman" w:eastAsia="Times New Roman" w:hAnsi="Times New Roman"/>
                  <w:sz w:val="18"/>
                  <w:szCs w:val="18"/>
                  <w:color w:val="000000"/>
                  <w:vertAlign w:val="superscript"/>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Form of Global Restricted Stock Unit Agreement Pursuant to the Take-Two</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11/8/2017</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3"/>
          </w:tcPr>
          <w:p>
            <w:pPr>
              <w:spacing w:after="0" w:line="161"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Interactive Software, Inc. 2017 Stock Incentive Plan</w:t>
              </w:r>
              <w:r>
                <w:rPr>
                  <w:rFonts w:ascii="Times New Roman" w:cs="Times New Roman" w:eastAsia="Times New Roman" w:hAnsi="Times New Roman"/>
                  <w:sz w:val="18"/>
                  <w:szCs w:val="18"/>
                  <w:color w:val="000000"/>
                  <w:vertAlign w:val="superscript"/>
                </w:rPr>
                <w:t>+</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Form of Global Restricted Stock Performance Unit Agreement Pursuant to</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11/8/2017</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19"/>
          </w:tcPr>
          <w:p>
            <w:pPr>
              <w:spacing w:after="0" w:line="161"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the Take-Two Interactive Software, Inc. 2017 Stock Incentive Plan</w:t>
              </w:r>
              <w:r>
                <w:rPr>
                  <w:rFonts w:ascii="Times New Roman" w:cs="Times New Roman" w:eastAsia="Times New Roman" w:hAnsi="Times New Roman"/>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Form of Non-Employee Director Restricted Stock Agreement Pursuant to the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11/8/2017</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25"/>
          </w:tcPr>
          <w:p>
            <w:pPr>
              <w:spacing w:after="0" w:line="161"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Take-Two Interactive Software Inc. 2017 Stock Incentive Plan</w:t>
              </w:r>
              <w:r>
                <w:rPr>
                  <w:rFonts w:ascii="Times New Roman" w:cs="Times New Roman" w:eastAsia="Times New Roman" w:hAnsi="Times New Roman"/>
                  <w:sz w:val="18"/>
                  <w:szCs w:val="18"/>
                  <w:color w:val="000000"/>
                  <w:vertAlign w:val="superscript"/>
                </w:rPr>
                <w:t>+</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Form of Non-Employee Director Stock Grant Agreement Pursuant to the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11/8/2017</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14"/>
          </w:tcPr>
          <w:p>
            <w:pPr>
              <w:spacing w:after="0" w:line="161"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Take-Two Interactive Software Inc. 2017 Stock Incentive Plan</w:t>
              </w:r>
              <w:r>
                <w:rPr>
                  <w:rFonts w:ascii="Times New Roman" w:cs="Times New Roman" w:eastAsia="Times New Roman" w:hAnsi="Times New Roman"/>
                  <w:sz w:val="18"/>
                  <w:szCs w:val="18"/>
                  <w:color w:val="000000"/>
                  <w:vertAlign w:val="superscript"/>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Employment Agreement, dated May 12, 2010, between the Company and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5/14/2010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17"/>
          </w:tcPr>
          <w:p>
            <w:pPr>
              <w:spacing w:after="0" w:line="161"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Lainie Goldstein</w:t>
              </w:r>
              <w:r>
                <w:rPr>
                  <w:rFonts w:ascii="Times New Roman" w:cs="Times New Roman" w:eastAsia="Times New Roman" w:hAnsi="Times New Roman"/>
                  <w:sz w:val="18"/>
                  <w:szCs w:val="18"/>
                  <w:color w:val="000000"/>
                  <w:vertAlign w:val="superscript"/>
                </w:rPr>
                <w:t>+</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First Amendment to Employment Agreement, dated October 25, 2010,</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10/25/2010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1"/>
          </w:tcPr>
          <w:p>
            <w:pPr>
              <w:spacing w:after="0" w:line="161"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between the Company and Lainie Goldstein</w:t>
              </w:r>
              <w:r>
                <w:rPr>
                  <w:rFonts w:ascii="Times New Roman" w:cs="Times New Roman" w:eastAsia="Times New Roman" w:hAnsi="Times New Roman"/>
                  <w:sz w:val="18"/>
                  <w:szCs w:val="18"/>
                  <w:color w:val="000000"/>
                  <w:vertAlign w:val="superscript"/>
                </w:rPr>
                <w:t>+</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Second Amendment to Employment Agreement, dated August 27, 2012,</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10/31/2012</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13"/>
          </w:tcPr>
          <w:p>
            <w:pPr>
              <w:spacing w:after="0" w:line="161"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between the Company and Lainie Goldstein</w:t>
              </w:r>
              <w:r>
                <w:rPr>
                  <w:rFonts w:ascii="Times New Roman" w:cs="Times New Roman" w:eastAsia="Times New Roman" w:hAnsi="Times New Roman"/>
                  <w:sz w:val="18"/>
                  <w:szCs w:val="18"/>
                  <w:color w:val="000000"/>
                  <w:vertAlign w:val="superscript"/>
                </w:rPr>
                <w:t>+</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Third Amendment to Employment Agreement dated May 7, 2018, between</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8/3/2018</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1"/>
          </w:tcPr>
          <w:p>
            <w:pPr>
              <w:spacing w:after="0" w:line="161"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the Company and Lainie Goldstein</w:t>
              </w:r>
              <w:r>
                <w:rPr>
                  <w:rFonts w:ascii="Times New Roman" w:cs="Times New Roman" w:eastAsia="Times New Roman" w:hAnsi="Times New Roman"/>
                  <w:sz w:val="18"/>
                  <w:szCs w:val="18"/>
                  <w:color w:val="000000"/>
                  <w:vertAlign w:val="superscript"/>
                </w:rPr>
                <w: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Employment Agreement, dated February 14, 2008, by and between the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2/15/2008</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12"/>
          </w:tcPr>
          <w:p>
            <w:pPr>
              <w:spacing w:after="0" w:line="161"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Company and Karl Slatoff</w:t>
              </w:r>
              <w:r>
                <w:rPr>
                  <w:rFonts w:ascii="Times New Roman" w:cs="Times New Roman" w:eastAsia="Times New Roman" w:hAnsi="Times New Roman"/>
                  <w:sz w:val="18"/>
                  <w:szCs w:val="18"/>
                  <w:color w:val="000000"/>
                  <w:vertAlign w:val="superscript"/>
                </w:rPr>
                <w:t>+</w:t>
              </w:r>
            </w:hyperlink>
          </w:p>
        </w:tc>
        <w:tc>
          <w:tcPr>
            <w:tcW w:w="1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Employment Agreement dated January 28, 2015 between the Company and</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2/6/2015</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2"/>
          </w:tcPr>
          <w:p>
            <w:pPr>
              <w:spacing w:after="0" w:line="161"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Daniel Emerson</w:t>
              </w:r>
              <w:r>
                <w:rPr>
                  <w:rFonts w:ascii="Times New Roman" w:cs="Times New Roman" w:eastAsia="Times New Roman" w:hAnsi="Times New Roman"/>
                  <w:sz w:val="18"/>
                  <w:szCs w:val="18"/>
                  <w:color w:val="000000"/>
                  <w:vertAlign w:val="superscript"/>
                </w:rPr>
                <w:t>+</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Management Agreement, dated as of November 17, 2017, by and between</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11/22/2017</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8"/>
          </w:tcPr>
          <w:p>
            <w:pPr>
              <w:spacing w:after="0" w:line="161"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the Company and ZelnickMedia Corporation</w:t>
              </w:r>
              <w:r>
                <w:rPr>
                  <w:rFonts w:ascii="Times New Roman" w:cs="Times New Roman" w:eastAsia="Times New Roman" w:hAnsi="Times New Roman"/>
                  <w:sz w:val="18"/>
                  <w:szCs w:val="18"/>
                  <w:color w:val="000000"/>
                  <w:vertAlign w:val="superscript"/>
                </w:rPr>
                <w:t>+</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Restricted Unit Agreement, dated as of April 13, 2018,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4/13/2018</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6"/>
          </w:tcPr>
          <w:p>
            <w:pPr>
              <w:spacing w:after="0" w:line="161"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Two Interactive Software, Inc. and ZelnickMedia Corporation</w:t>
              </w:r>
              <w:r>
                <w:rPr>
                  <w:rFonts w:ascii="Times New Roman" w:cs="Times New Roman" w:eastAsia="Times New Roman" w:hAnsi="Times New Roman"/>
                  <w:sz w:val="18"/>
                  <w:szCs w:val="18"/>
                  <w:color w:val="000000"/>
                  <w:vertAlign w:val="superscript"/>
                </w:rPr>
                <w:t>+</w:t>
              </w:r>
            </w:hyperlink>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Restricted Unit Agreement, dated as of April 15, 2019,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4/15/2019</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Two Interactive Software, Inc. and ZelnickMedia Corporation</w:t>
              </w:r>
              <w:r>
                <w:rPr>
                  <w:rFonts w:ascii="Times New Roman" w:cs="Times New Roman" w:eastAsia="Times New Roman" w:hAnsi="Times New Roman"/>
                  <w:sz w:val="8"/>
                  <w:szCs w:val="8"/>
                  <w:color w:val="000000"/>
                </w:rPr>
                <w:t>+</w:t>
              </w:r>
            </w:hyperlink>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Restricted Unit Agreement dated as of April 13, 2020,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4/13/2020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4"/>
          </w:tcPr>
          <w:p>
            <w:pPr>
              <w:spacing w:after="0" w:line="161"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Two Interactive Software, Inc. and ZelnickMedia Corporation</w:t>
              </w:r>
              <w:r>
                <w:rPr>
                  <w:rFonts w:ascii="Times New Roman" w:cs="Times New Roman" w:eastAsia="Times New Roman" w:hAnsi="Times New Roman"/>
                  <w:sz w:val="18"/>
                  <w:szCs w:val="18"/>
                  <w:color w:val="000000"/>
                  <w:vertAlign w:val="superscript"/>
                </w:rPr>
                <w:t>+</w:t>
              </w:r>
            </w:hyperlink>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Restricted Unit Agreement dated as of April 13, 2021,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4/13/2021</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4"/>
          </w:tcPr>
          <w:p>
            <w:pPr>
              <w:spacing w:after="0" w:line="161"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Two Interactive Software, Inc. and ZelnickMedia Corporation</w:t>
              </w:r>
              <w:r>
                <w:rPr>
                  <w:rFonts w:ascii="Times New Roman" w:cs="Times New Roman" w:eastAsia="Times New Roman" w:hAnsi="Times New Roman"/>
                  <w:sz w:val="18"/>
                  <w:szCs w:val="18"/>
                  <w:color w:val="000000"/>
                  <w:vertAlign w:val="superscript"/>
                </w:rPr>
                <w:t>+</w:t>
              </w:r>
            </w:hyperlink>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Restricted Unit Agreement dated as of April 13, 2022,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4/13/2022</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4"/>
          </w:tcPr>
          <w:p>
            <w:pPr>
              <w:spacing w:after="0" w:line="161"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Two Interactive Software, Inc. and ZelnickMedia Corporation</w:t>
              </w:r>
              <w:r>
                <w:rPr>
                  <w:rFonts w:ascii="Times New Roman" w:cs="Times New Roman" w:eastAsia="Times New Roman" w:hAnsi="Times New Roman"/>
                  <w:sz w:val="18"/>
                  <w:szCs w:val="18"/>
                  <w:color w:val="000000"/>
                  <w:vertAlign w:val="superscript"/>
                </w:rPr>
                <w:t>+</w:t>
              </w:r>
            </w:hyperlink>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Management Agreement, dated as of May 3, 2022,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5/5/2022</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7"/>
                <w:szCs w:val="17"/>
                <w:color w:val="0000FF"/>
                <w:w w:val="99"/>
              </w:rPr>
            </w:pPr>
            <w:hyperlink r:id="rId126">
              <w:r>
                <w:rPr>
                  <w:rFonts w:ascii="Times New Roman" w:cs="Times New Roman" w:eastAsia="Times New Roman" w:hAnsi="Times New Roman"/>
                  <w:sz w:val="17"/>
                  <w:szCs w:val="17"/>
                  <w:color w:val="0000FF"/>
                  <w:w w:val="99"/>
                </w:rPr>
                <w:t>Two Interactive Software, Inc. and ZelnickMedia Corporation</w:t>
              </w:r>
            </w:hyperlink>
          </w:p>
        </w:tc>
        <w:tc>
          <w:tcPr>
            <w:tcW w:w="780" w:type="dxa"/>
            <w:vAlign w:val="bottom"/>
            <w:tcBorders>
              <w:top w:val="single" w:sz="8" w:color="0000FF"/>
            </w:tcBorders>
            <w:gridSpan w:val="7"/>
          </w:tcPr>
          <w:p>
            <w:pPr>
              <w:spacing w:after="0"/>
              <w:rPr>
                <w:sz w:val="13"/>
                <w:szCs w:val="13"/>
                <w:color w:val="auto"/>
              </w:rPr>
            </w:pPr>
          </w:p>
        </w:tc>
        <w:tc>
          <w:tcPr>
            <w:tcW w:w="120" w:type="dxa"/>
            <w:vAlign w:val="bottom"/>
            <w:gridSpan w:val="5"/>
          </w:tcPr>
          <w:p>
            <w:pPr>
              <w:spacing w:after="0"/>
              <w:rPr>
                <w:sz w:val="13"/>
                <w:szCs w:val="13"/>
                <w:color w:val="auto"/>
              </w:rPr>
            </w:pPr>
          </w:p>
        </w:tc>
        <w:tc>
          <w:tcPr>
            <w:tcW w:w="30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Restricted Unit Agreement dated as of June 1, 2022,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8/9/2023</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20"/>
          </w:tcPr>
          <w:p>
            <w:pPr>
              <w:spacing w:after="0" w:line="161"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Two Interactive Software, Inc. and ZMC Advisors, L.P.</w:t>
              </w:r>
              <w:r>
                <w:rPr>
                  <w:rFonts w:ascii="Times New Roman" w:cs="Times New Roman" w:eastAsia="Times New Roman" w:hAnsi="Times New Roman"/>
                  <w:sz w:val="18"/>
                  <w:szCs w:val="18"/>
                  <w:color w:val="000000"/>
                  <w:vertAlign w:val="superscript"/>
                </w:rPr>
                <w:t>+</w:t>
              </w:r>
            </w:hyperlink>
          </w:p>
        </w:tc>
        <w:tc>
          <w:tcPr>
            <w:tcW w:w="30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640" w:type="dxa"/>
            <w:vAlign w:val="bottom"/>
            <w:gridSpan w:val="21"/>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8"/>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Restricted Unit Agreement dated as of June 1, 2022, by and between Take-</w:t>
              </w:r>
            </w:hyperlink>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8/9/2023</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20"/>
          </w:tcPr>
          <w:p>
            <w:pPr>
              <w:spacing w:after="0" w:line="161"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Two Interactive Software, Inc. and ZMC Advisors, L.P.</w:t>
              </w:r>
              <w:r>
                <w:rPr>
                  <w:rFonts w:ascii="Times New Roman" w:cs="Times New Roman" w:eastAsia="Times New Roman" w:hAnsi="Times New Roman"/>
                  <w:sz w:val="18"/>
                  <w:szCs w:val="18"/>
                  <w:color w:val="000000"/>
                  <w:vertAlign w:val="superscript"/>
                </w:rPr>
                <w:t>+</w:t>
              </w:r>
            </w:hyperlink>
          </w:p>
        </w:tc>
        <w:tc>
          <w:tcPr>
            <w:tcW w:w="30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15875</wp:posOffset>
            </wp:positionV>
            <wp:extent cx="581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9">
                      <a:extLst>
                        <a:ext uri="{28A0092B-C50C-407E-A947-70E740481C1C}"/>
                      </a:extLst>
                    </a:blip>
                    <a:srcRect/>
                    <a:stretch>
                      <a:fillRect/>
                    </a:stretch>
                  </pic:blipFill>
                  <pic:spPr bwMode="auto">
                    <a:xfrm>
                      <a:off x="0" y="0"/>
                      <a:ext cx="581025" cy="8255"/>
                    </a:xfrm>
                    <a:prstGeom prst="rect">
                      <a:avLst/>
                    </a:prstGeom>
                    <a:noFill/>
                  </pic:spPr>
                </pic:pic>
              </a:graphicData>
            </a:graphic>
          </wp:anchor>
        </w:drawing>
      </w:r>
    </w:p>
    <w:p>
      <w:pPr>
        <w:spacing w:after="0" w:line="8204" w:lineRule="exact"/>
        <w:rPr>
          <w:sz w:val="20"/>
          <w:szCs w:val="20"/>
          <w:color w:val="auto"/>
        </w:rPr>
      </w:pPr>
    </w:p>
    <w:p>
      <w:pPr>
        <w:sectPr>
          <w:pgSz w:w="11900" w:h="16838" w:orient="portrait"/>
          <w:cols w:equalWidth="0" w:num="2">
            <w:col w:w="10180" w:space="300"/>
            <w:col w:w="540"/>
          </w:cols>
          <w:pgMar w:left="320" w:top="1159" w:right="55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159" w:right="559" w:bottom="1440" w:gutter="0" w:footer="0" w:header="0"/>
          <w:type w:val="continuous"/>
        </w:sectPr>
      </w:pPr>
    </w:p>
    <w:bookmarkStart w:id="58" w:name="page59"/>
    <w:bookmarkEnd w:id="58"/>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20" w:type="dxa"/>
            <w:vAlign w:val="bottom"/>
            <w:gridSpan w:val="29"/>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3"/>
        </w:trPr>
        <w:tc>
          <w:tcPr>
            <w:tcW w:w="13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9"/>
              </w:rPr>
              <w:t>10.35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0"/>
          </w:tcPr>
          <w:p>
            <w:pPr>
              <w:spacing w:after="0" w:line="17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Restricted Unit Agreement dated as of June 1, 2022, by and between Take-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23"/>
          </w:tcPr>
          <w:p>
            <w:pPr>
              <w:spacing w:after="0" w:line="161"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Two Interactive Software, Inc. and ZMC Advisors, L.P.</w:t>
              </w:r>
              <w:r>
                <w:rPr>
                  <w:rFonts w:ascii="Times New Roman" w:cs="Times New Roman" w:eastAsia="Times New Roman" w:hAnsi="Times New Roman"/>
                  <w:sz w:val="18"/>
                  <w:szCs w:val="18"/>
                  <w:color w:val="000000"/>
                  <w:vertAlign w:val="superscript"/>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Restricted Unit Agreement dated as of June 1, 2023, by and between Take-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23"/>
          </w:tcPr>
          <w:p>
            <w:pPr>
              <w:spacing w:after="0" w:line="161"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Two Interactive Software, Inc. and ZMC Advisors, L.P.</w:t>
              </w:r>
              <w:r>
                <w:rPr>
                  <w:rFonts w:ascii="Times New Roman" w:cs="Times New Roman" w:eastAsia="Times New Roman" w:hAnsi="Times New Roman"/>
                  <w:sz w:val="18"/>
                  <w:szCs w:val="18"/>
                  <w:color w:val="000000"/>
                  <w:vertAlign w:val="superscript"/>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Restricted Unit Agreement dated as of June 3, 2024, by and between Take-</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w w:val="99"/>
              </w:rPr>
            </w:pPr>
            <w:hyperlink r:id="rId133">
              <w:r>
                <w:rPr>
                  <w:rFonts w:ascii="Times New Roman" w:cs="Times New Roman" w:eastAsia="Times New Roman" w:hAnsi="Times New Roman"/>
                  <w:sz w:val="17"/>
                  <w:szCs w:val="17"/>
                  <w:color w:val="0000FF"/>
                  <w:w w:val="99"/>
                </w:rPr>
                <w:t>Two Interactive Software, Inc. and ZMC Advisors, L.P.+</w:t>
              </w:r>
            </w:hyperlink>
          </w:p>
        </w:tc>
        <w:tc>
          <w:tcPr>
            <w:tcW w:w="124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Credit Agreement, dated as of May 23, 2022, by and among Take-Two</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Interactive Software, Inc., JPMorgan Chase Bank, N.A., Wells Fargo</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Securities, LLC, BOFA Securities, Inc. and BNP Paribas</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Amendment No. 1 to Credit Agreement, dated as of May 14, 2024, by and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among Take-Two Interactive Software, Inc., and JPMorgan Chase Bank,</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6"/>
              </w:rPr>
            </w:pPr>
            <w:hyperlink r:id="rId135">
              <w:r>
                <w:rPr>
                  <w:rFonts w:ascii="Times New Roman" w:cs="Times New Roman" w:eastAsia="Times New Roman" w:hAnsi="Times New Roman"/>
                  <w:sz w:val="17"/>
                  <w:szCs w:val="17"/>
                  <w:color w:val="0000FF"/>
                  <w:w w:val="96"/>
                </w:rPr>
                <w:t>N.A.</w:t>
              </w:r>
            </w:hyperlink>
          </w:p>
        </w:tc>
        <w:tc>
          <w:tcPr>
            <w:tcW w:w="4680" w:type="dxa"/>
            <w:vAlign w:val="bottom"/>
            <w:tcBorders>
              <w:top w:val="single" w:sz="8" w:color="0000FF"/>
            </w:tcBorders>
            <w:gridSpan w:val="17"/>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Amendment No. 2 to Credit Agreement, dated as of June 6, 2024, by and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among Take-Two Interactive Software, Inc., and JPMorgan Chase Bank,</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6"/>
              </w:rPr>
            </w:pPr>
            <w:hyperlink r:id="rId136">
              <w:r>
                <w:rPr>
                  <w:rFonts w:ascii="Times New Roman" w:cs="Times New Roman" w:eastAsia="Times New Roman" w:hAnsi="Times New Roman"/>
                  <w:sz w:val="17"/>
                  <w:szCs w:val="17"/>
                  <w:color w:val="0000FF"/>
                  <w:w w:val="96"/>
                </w:rPr>
                <w:t>N.A.</w:t>
              </w:r>
            </w:hyperlink>
          </w:p>
        </w:tc>
        <w:tc>
          <w:tcPr>
            <w:tcW w:w="4680" w:type="dxa"/>
            <w:vAlign w:val="bottom"/>
            <w:tcBorders>
              <w:top w:val="single" w:sz="8" w:color="0000FF"/>
            </w:tcBorders>
            <w:gridSpan w:val="17"/>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Amendment No. 3 to Credit Agreement, dated as of May 19, 2025, by and</w:t>
            </w:r>
          </w:p>
        </w:tc>
        <w:tc>
          <w:tcPr>
            <w:tcW w:w="220" w:type="dxa"/>
            <w:vAlign w:val="bottom"/>
            <w:gridSpan w:val="8"/>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sz w:val="20"/>
                <w:szCs w:val="20"/>
                <w:color w:val="auto"/>
              </w:rPr>
            </w:pPr>
            <w:r>
              <w:rPr>
                <w:rFonts w:ascii="Times New Roman" w:cs="Times New Roman" w:eastAsia="Times New Roman" w:hAnsi="Times New Roman"/>
                <w:sz w:val="17"/>
                <w:szCs w:val="17"/>
                <w:color w:val="0000FF"/>
              </w:rPr>
              <w:t>among Take-Two Interactive Software, Inc. and JPMorgan Chase Bank, N.A.</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7"/>
                <w:szCs w:val="17"/>
                <w:color w:val="0000FF"/>
              </w:rPr>
              <w:t>Receivables Purchase Agreement, dated as of May 19, 2025, by and among</w:t>
            </w:r>
          </w:p>
        </w:tc>
        <w:tc>
          <w:tcPr>
            <w:tcW w:w="40" w:type="dxa"/>
            <w:vAlign w:val="bottom"/>
            <w:gridSpan w:val="2"/>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4"/>
          </w:tcPr>
          <w:p>
            <w:pPr>
              <w:spacing w:after="0" w:line="161" w:lineRule="exact"/>
              <w:rPr>
                <w:sz w:val="20"/>
                <w:szCs w:val="20"/>
                <w:color w:val="auto"/>
              </w:rPr>
            </w:pPr>
            <w:r>
              <w:rPr>
                <w:rFonts w:ascii="Times New Roman" w:cs="Times New Roman" w:eastAsia="Times New Roman" w:hAnsi="Times New Roman"/>
                <w:sz w:val="17"/>
                <w:szCs w:val="17"/>
                <w:color w:val="0000FF"/>
              </w:rPr>
              <w:t>Take-Two Interactive Software, Inc., Zynga Inc., and Wells Fargo Bank,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tcBorders>
              <w:top w:val="single" w:sz="8" w:color="0000FF"/>
            </w:tcBorders>
            <w:gridSpan w:val="15"/>
          </w:tcPr>
          <w:p>
            <w:pPr>
              <w:spacing w:after="0" w:line="148" w:lineRule="exact"/>
              <w:rPr>
                <w:sz w:val="20"/>
                <w:szCs w:val="20"/>
                <w:color w:val="auto"/>
              </w:rPr>
            </w:pPr>
            <w:r>
              <w:rPr>
                <w:rFonts w:ascii="Times New Roman" w:cs="Times New Roman" w:eastAsia="Times New Roman" w:hAnsi="Times New Roman"/>
                <w:sz w:val="17"/>
                <w:szCs w:val="17"/>
                <w:color w:val="0000FF"/>
              </w:rPr>
              <w:t>N.A.</w:t>
            </w:r>
            <w:r>
              <w:rPr>
                <w:rFonts w:ascii="Times New Roman" w:cs="Times New Roman" w:eastAsia="Times New Roman" w:hAnsi="Times New Roman"/>
                <w:sz w:val="17"/>
                <w:szCs w:val="17"/>
                <w:color w:val="000000"/>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Xbox 360 Publisher License Agreement dated November 17, 2005, between</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7"/>
          </w:tcPr>
          <w:p>
            <w:pPr>
              <w:spacing w:after="0" w:line="161"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Microsoft Licensing, GP and the Company</w:t>
              </w:r>
              <w:r>
                <w:rPr>
                  <w:rFonts w:ascii="Times New Roman" w:cs="Times New Roman" w:eastAsia="Times New Roman" w:hAnsi="Times New Roman"/>
                  <w:sz w:val="17"/>
                  <w:szCs w:val="17"/>
                  <w:color w:val="000000"/>
                </w:rPr>
                <w:t>*</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Amendment to Xbox 360 Publisher License Agreement, dated December 4,</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5"/>
          </w:tcPr>
          <w:p>
            <w:pPr>
              <w:spacing w:after="0" w:line="161"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2008, between Microsoft Licensing, GP and the Company</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Amendment to the Xbox 360 Publisher License Agreement, dated</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November 22, 2011, between the Company and Microsoft Licensing, GP</w:t>
              </w:r>
            </w:hyperlink>
            <w:r>
              <w:rPr>
                <w:rFonts w:ascii="Times New Roman" w:cs="Times New Roman" w:eastAsia="Times New Roman" w:hAnsi="Times New Roman"/>
                <w:sz w:val="17"/>
                <w:szCs w:val="17"/>
                <w:color w:val="000000"/>
              </w:rPr>
              <w:t>*</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top w:val="single" w:sz="8" w:color="0000FF"/>
            </w:tcBorders>
            <w:gridSpan w:val="19"/>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Amendment to the Xbox 360 Publisher License Agreement, dated</w:t>
              </w:r>
            </w:hyperlink>
          </w:p>
        </w:tc>
        <w:tc>
          <w:tcPr>
            <w:tcW w:w="340" w:type="dxa"/>
            <w:vAlign w:val="bottom"/>
            <w:gridSpan w:val="11"/>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December 11, 2012, between the Company and Microsoft Licensing, GP</w:t>
              </w:r>
            </w:hyperlink>
            <w:r>
              <w:rPr>
                <w:rFonts w:ascii="Times New Roman" w:cs="Times New Roman" w:eastAsia="Times New Roman" w:hAnsi="Times New Roman"/>
                <w:sz w:val="17"/>
                <w:szCs w:val="17"/>
                <w:color w:val="000000"/>
              </w:rPr>
              <w:t>*</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top w:val="single" w:sz="8" w:color="0000FF"/>
            </w:tcBorders>
            <w:gridSpan w:val="19"/>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Amendment to the Xbox 360 Publisher License Agreement, dated</w:t>
              </w:r>
            </w:hyperlink>
          </w:p>
        </w:tc>
        <w:tc>
          <w:tcPr>
            <w:tcW w:w="340" w:type="dxa"/>
            <w:vAlign w:val="bottom"/>
            <w:gridSpan w:val="11"/>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November 13, 2013, between the Company and Microsoft Licensing, GP</w:t>
              </w:r>
            </w:hyperlink>
            <w:r>
              <w:rPr>
                <w:rFonts w:ascii="Times New Roman" w:cs="Times New Roman" w:eastAsia="Times New Roman" w:hAnsi="Times New Roman"/>
                <w:sz w:val="17"/>
                <w:szCs w:val="17"/>
                <w:color w:val="000000"/>
              </w:rPr>
              <w:t>*</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FF"/>
            </w:tcBorders>
            <w:gridSpan w:val="20"/>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Amendment to the Xbox 360 Publisher License Agreement, dated</w:t>
              </w:r>
            </w:hyperlink>
          </w:p>
        </w:tc>
        <w:tc>
          <w:tcPr>
            <w:tcW w:w="320" w:type="dxa"/>
            <w:vAlign w:val="bottom"/>
            <w:gridSpan w:val="10"/>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September 30, 2014, between Microsoft Corporation and the Company</w:t>
              </w:r>
            </w:hyperlink>
            <w:r>
              <w:rPr>
                <w:rFonts w:ascii="Times New Roman" w:cs="Times New Roman" w:eastAsia="Times New Roman" w:hAnsi="Times New Roman"/>
                <w:sz w:val="17"/>
                <w:szCs w:val="17"/>
                <w:color w:val="000000"/>
              </w:rPr>
              <w:t>*</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Amendment to the Xbox 360 Publisher License Agreement, signed on</w:t>
              </w:r>
            </w:hyperlink>
          </w:p>
        </w:tc>
        <w:tc>
          <w:tcPr>
            <w:tcW w:w="60" w:type="dxa"/>
            <w:vAlign w:val="bottom"/>
            <w:tcBorders>
              <w:top w:val="single" w:sz="8" w:color="0000FF"/>
            </w:tcBorders>
            <w:gridSpan w:val="2"/>
          </w:tcPr>
          <w:p>
            <w:pPr>
              <w:spacing w:after="0"/>
              <w:rPr>
                <w:sz w:val="17"/>
                <w:szCs w:val="17"/>
                <w:color w:val="auto"/>
              </w:rPr>
            </w:pPr>
          </w:p>
        </w:tc>
        <w:tc>
          <w:tcPr>
            <w:tcW w:w="460" w:type="dxa"/>
            <w:vAlign w:val="bottom"/>
            <w:gridSpan w:val="16"/>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December 5, 2017, between Microsoft Corporation and the Company</w:t>
              </w:r>
              <w:r>
                <w:rPr>
                  <w:rFonts w:ascii="Times New Roman" w:cs="Times New Roman" w:eastAsia="Times New Roman" w:hAnsi="Times New Roman"/>
                  <w:sz w:val="17"/>
                  <w:szCs w:val="17"/>
                  <w:color w:val="000000"/>
                </w:rPr>
                <w:t>*</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0"/>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Xbox Console Publisher License Agreement, dated as of July 1, 2020, by and</w:t>
              </w:r>
            </w:hyperlink>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9"/>
          </w:tcPr>
          <w:p>
            <w:pPr>
              <w:spacing w:after="0" w:line="161"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between Take-Two Interactive Software, Inc. and Microsoft Corporation</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top w:val="single" w:sz="8" w:color="0000FF"/>
            </w:tcBorders>
            <w:gridSpan w:val="17"/>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PlayStation Global Developer and Publisher Agreement, dated as of</w:t>
              </w:r>
            </w:hyperlink>
          </w:p>
        </w:tc>
        <w:tc>
          <w:tcPr>
            <w:tcW w:w="360" w:type="dxa"/>
            <w:vAlign w:val="bottom"/>
            <w:gridSpan w:val="13"/>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30"/>
          </w:tcPr>
          <w:p>
            <w:pPr>
              <w:spacing w:after="0" w:line="161"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March 23, 2017, between the Company and certain of its affiliates and Sony</w:t>
              </w:r>
            </w:hyperlink>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4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Interactive Entertainment, Inc., Sony Interactive Entertainment America</w:t>
              </w:r>
            </w:hyperlink>
          </w:p>
        </w:tc>
        <w:tc>
          <w:tcPr>
            <w:tcW w:w="120" w:type="dxa"/>
            <w:vAlign w:val="bottom"/>
            <w:gridSpan w:val="4"/>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8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LLC, and Sony Interactive Entertainment Europe Ltd.</w:t>
              </w:r>
              <w:r>
                <w:rPr>
                  <w:rFonts w:ascii="Times New Roman" w:cs="Times New Roman" w:eastAsia="Times New Roman" w:hAnsi="Times New Roman"/>
                  <w:sz w:val="17"/>
                  <w:szCs w:val="17"/>
                  <w:color w:val="000000"/>
                </w:rPr>
                <w:t>*</w:t>
              </w:r>
            </w:hyperlink>
          </w:p>
        </w:tc>
        <w:tc>
          <w:tcPr>
            <w:tcW w:w="380" w:type="dxa"/>
            <w:vAlign w:val="bottom"/>
            <w:gridSpan w:val="14"/>
          </w:tcPr>
          <w:p>
            <w:pPr>
              <w:spacing w:after="0"/>
              <w:rPr>
                <w:sz w:val="12"/>
                <w:szCs w:val="12"/>
                <w:color w:val="auto"/>
              </w:rPr>
            </w:pPr>
          </w:p>
        </w:tc>
      </w:tr>
      <w:tr>
        <w:trPr>
          <w:trHeight w:val="947"/>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top w:val="single" w:sz="8" w:color="0000FF"/>
            </w:tcBorders>
            <w:gridSpan w:val="3"/>
          </w:tcPr>
          <w:p>
            <w:pPr>
              <w:spacing w:after="0"/>
              <w:rPr>
                <w:sz w:val="24"/>
                <w:szCs w:val="24"/>
                <w:color w:val="auto"/>
              </w:rPr>
            </w:pPr>
          </w:p>
        </w:tc>
        <w:tc>
          <w:tcPr>
            <w:tcW w:w="820" w:type="dxa"/>
            <w:vAlign w:val="bottom"/>
            <w:gridSpan w:val="5"/>
          </w:tcPr>
          <w:p>
            <w:pPr>
              <w:jc w:val="right"/>
              <w:ind w:right="300"/>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21"/>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10-Q</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8/9/2023</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6/1/2023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5/26/2022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400"/>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56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11/8/2011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6/5/2009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2/6/2013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2/4/2014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10/30/2014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2/8/2018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11/6/2020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5/24/2017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820" w:space="100"/>
            <w:col w:w="4280"/>
          </w:cols>
          <w:pgMar w:left="320" w:top="1159" w:right="379" w:bottom="1440" w:gutter="0" w:footer="0" w:header="0"/>
        </w:sectPr>
      </w:pPr>
    </w:p>
    <w:bookmarkStart w:id="59" w:name="page60"/>
    <w:bookmarkEnd w:id="59"/>
    <w:p>
      <w:pPr>
        <w:ind w:left="82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51435</wp:posOffset>
            </wp:positionV>
            <wp:extent cx="27178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7">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11120"/>
          </w:cols>
          <w:pgMar w:left="320" w:top="1159" w:right="4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gridSpan w:val="23"/>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3"/>
        </w:trPr>
        <w:tc>
          <w:tcPr>
            <w:tcW w:w="13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9"/>
              </w:rPr>
              <w:t>10.52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gridSpan w:val="25"/>
          </w:tcPr>
          <w:p>
            <w:pPr>
              <w:spacing w:after="0" w:line="17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PlayStation 5 Amendment to PlayStation Global Developer and Publisher</w:t>
              </w:r>
            </w:hyperlink>
          </w:p>
        </w:tc>
        <w:tc>
          <w:tcPr>
            <w:tcW w:w="80" w:type="dxa"/>
            <w:vAlign w:val="bottom"/>
          </w:tcPr>
          <w:p>
            <w:pPr>
              <w:spacing w:after="0"/>
              <w:rPr>
                <w:sz w:val="15"/>
                <w:szCs w:val="15"/>
                <w:color w:val="auto"/>
              </w:rPr>
            </w:pPr>
          </w:p>
        </w:tc>
        <w:tc>
          <w:tcPr>
            <w:tcW w:w="860" w:type="dxa"/>
            <w:vAlign w:val="bottom"/>
          </w:tcPr>
          <w:p>
            <w:pPr>
              <w:ind w:left="260"/>
              <w:spacing w:after="0" w:line="173" w:lineRule="exact"/>
              <w:rPr>
                <w:sz w:val="20"/>
                <w:szCs w:val="20"/>
                <w:color w:val="auto"/>
              </w:rPr>
            </w:pPr>
            <w:r>
              <w:rPr>
                <w:rFonts w:ascii="Times New Roman" w:cs="Times New Roman" w:eastAsia="Times New Roman" w:hAnsi="Times New Roman"/>
                <w:sz w:val="17"/>
                <w:szCs w:val="17"/>
                <w:color w:val="auto"/>
              </w:rPr>
              <w:t>10-Q</w:t>
            </w:r>
          </w:p>
        </w:tc>
        <w:tc>
          <w:tcPr>
            <w:tcW w:w="120" w:type="dxa"/>
            <w:vAlign w:val="bottom"/>
          </w:tcPr>
          <w:p>
            <w:pPr>
              <w:spacing w:after="0"/>
              <w:rPr>
                <w:sz w:val="15"/>
                <w:szCs w:val="15"/>
                <w:color w:val="auto"/>
              </w:rPr>
            </w:pPr>
          </w:p>
        </w:tc>
        <w:tc>
          <w:tcPr>
            <w:tcW w:w="11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11/6/2020</w:t>
            </w:r>
          </w:p>
        </w:tc>
        <w:tc>
          <w:tcPr>
            <w:tcW w:w="100" w:type="dxa"/>
            <w:vAlign w:val="bottom"/>
          </w:tcPr>
          <w:p>
            <w:pPr>
              <w:spacing w:after="0"/>
              <w:rPr>
                <w:sz w:val="15"/>
                <w:szCs w:val="15"/>
                <w:color w:val="auto"/>
              </w:rPr>
            </w:pPr>
          </w:p>
        </w:tc>
        <w:tc>
          <w:tcPr>
            <w:tcW w:w="10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10.4</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26"/>
          </w:tcPr>
          <w:p>
            <w:pPr>
              <w:spacing w:after="0" w:line="161"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Agreement, effective as of May 1, 2020 and signed on September 30, 2020,</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4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between Take-Two Interactive Software, Inc. and certain of its affiliates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gridSpan w:val="20"/>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Sony Interactive Entertainment, Inc., Sony Interactive Entertainment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10"/>
          </w:tcPr>
          <w:p>
            <w:pPr>
              <w:spacing w:after="0" w:line="161"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America LLC, and Sony Interactive Entertainment Europe Ltd.</w:t>
              </w:r>
              <w:r>
                <w:rPr>
                  <w:rFonts w:ascii="Times New Roman" w:cs="Times New Roman" w:eastAsia="Times New Roman" w:hAnsi="Times New Roman"/>
                  <w:sz w:val="17"/>
                  <w:szCs w:val="17"/>
                  <w:color w:val="000000"/>
                </w:rPr>
                <w:t>**</w:t>
              </w:r>
            </w:hyperlink>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Lease Agreement, dated as of December 12, 2016, by and between Take-Two</w:t>
              </w:r>
            </w:hyperlink>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2/8/2017</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24"/>
          </w:tcPr>
          <w:p>
            <w:pPr>
              <w:spacing w:after="0" w:line="161"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Interactive Software, Inc. and DOLP 1133 Properties II LLC for a premises</w:t>
              </w:r>
            </w:hyperlink>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with entrances at 1133 Avenue of the Americas and 110 West 44th Street,</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New York, New York 10036</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First Amendment to Lease, dated as of July 25, 2018 by and between Take-</w:t>
              </w:r>
            </w:hyperlink>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11/8/2018</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Two Interactive Software, Inc. and DOLP 1133 Properties II LLC</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Second Amendment to Lease, dated as of August 31, 2021 by and between</w:t>
              </w:r>
            </w:hyperlink>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11/4/2021</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Take-Two Interactive Software, Inc. and DOLP 1133 Properties III LLC</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top w:val="single" w:sz="8" w:color="0000FF"/>
            </w:tcBorders>
            <w:gridSpan w:val="11"/>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Take-Two Interactive Software, Inc. Securities Trading Policy</w:t>
              </w:r>
            </w:hyperlink>
          </w:p>
        </w:tc>
        <w:tc>
          <w:tcPr>
            <w:tcW w:w="500" w:type="dxa"/>
            <w:vAlign w:val="bottom"/>
            <w:gridSpan w:val="15"/>
          </w:tcPr>
          <w:p>
            <w:pPr>
              <w:spacing w:after="0"/>
              <w:rPr>
                <w:sz w:val="17"/>
                <w:szCs w:val="17"/>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5/22/2024</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19.1</w:t>
            </w: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2260" w:type="dxa"/>
            <w:vAlign w:val="bottom"/>
            <w:tcBorders>
              <w:top w:val="single" w:sz="8" w:color="0000FF"/>
            </w:tcBorders>
            <w:gridSpan w:val="3"/>
          </w:tcPr>
          <w:p>
            <w:pPr>
              <w:spacing w:after="0"/>
              <w:rPr>
                <w:sz w:val="17"/>
                <w:szCs w:val="17"/>
                <w:color w:val="auto"/>
              </w:rPr>
            </w:pPr>
          </w:p>
        </w:tc>
        <w:tc>
          <w:tcPr>
            <w:tcW w:w="120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Consent of Ernst &amp; Young LLP</w:t>
            </w:r>
          </w:p>
        </w:tc>
        <w:tc>
          <w:tcPr>
            <w:tcW w:w="328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Chief Executive Officer Certification Pursuant to Rules 13a-15(e) and 15d-</w:t>
            </w:r>
          </w:p>
        </w:tc>
        <w:tc>
          <w:tcPr>
            <w:tcW w:w="28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26"/>
          </w:tcPr>
          <w:p>
            <w:pPr>
              <w:spacing w:after="0" w:line="161" w:lineRule="exact"/>
              <w:rPr>
                <w:sz w:val="20"/>
                <w:szCs w:val="20"/>
                <w:color w:val="auto"/>
              </w:rPr>
            </w:pPr>
            <w:r>
              <w:rPr>
                <w:rFonts w:ascii="Times New Roman" w:cs="Times New Roman" w:eastAsia="Times New Roman" w:hAnsi="Times New Roman"/>
                <w:sz w:val="17"/>
                <w:szCs w:val="17"/>
                <w:color w:val="0000FF"/>
              </w:rPr>
              <w:t>15(e) under the Securities and Exchange Act of 1934, as adopted pursuant to</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40" w:type="dxa"/>
            <w:vAlign w:val="bottom"/>
            <w:tcBorders>
              <w:top w:val="single" w:sz="8" w:color="0000FF"/>
            </w:tcBorders>
            <w:gridSpan w:val="23"/>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Chief Financial Officer Certification Pursuant to Rules 13a-15(e) and 15d-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13"/>
          </w:tcPr>
          <w:p>
            <w:pPr>
              <w:spacing w:after="0" w:line="161" w:lineRule="exact"/>
              <w:rPr>
                <w:sz w:val="20"/>
                <w:szCs w:val="20"/>
                <w:color w:val="auto"/>
              </w:rPr>
            </w:pPr>
            <w:r>
              <w:rPr>
                <w:rFonts w:ascii="Times New Roman" w:cs="Times New Roman" w:eastAsia="Times New Roman" w:hAnsi="Times New Roman"/>
                <w:sz w:val="17"/>
                <w:szCs w:val="17"/>
                <w:color w:val="0000FF"/>
              </w:rPr>
              <w:t>15(e) under the Securities and Exchange Act of 1934, as adopted pursuant</w:t>
            </w:r>
          </w:p>
        </w:tc>
        <w:tc>
          <w:tcPr>
            <w:tcW w:w="320" w:type="dxa"/>
            <w:vAlign w:val="bottom"/>
            <w:gridSpan w:val="13"/>
          </w:tcPr>
          <w:p>
            <w:pPr>
              <w:spacing w:after="0" w:line="161" w:lineRule="exact"/>
              <w:rPr>
                <w:sz w:val="20"/>
                <w:szCs w:val="20"/>
                <w:color w:val="auto"/>
              </w:rPr>
            </w:pPr>
            <w:r>
              <w:rPr>
                <w:rFonts w:ascii="Times New Roman" w:cs="Times New Roman" w:eastAsia="Times New Roman" w:hAnsi="Times New Roman"/>
                <w:sz w:val="17"/>
                <w:szCs w:val="17"/>
                <w:color w:val="0000FF"/>
              </w:rPr>
              <w:t>to</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40" w:type="dxa"/>
            <w:vAlign w:val="bottom"/>
            <w:tcBorders>
              <w:top w:val="single" w:sz="8" w:color="0000FF"/>
            </w:tcBorders>
            <w:gridSpan w:val="23"/>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Chief Executive Officer Certification pursuant to 18 U.S.C. Section 1350, as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9"/>
          </w:tcPr>
          <w:p>
            <w:pPr>
              <w:spacing w:after="0" w:line="161"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640" w:type="dxa"/>
            <w:vAlign w:val="bottom"/>
            <w:tcBorders>
              <w:top w:val="single" w:sz="8" w:color="0000FF"/>
            </w:tcBorders>
            <w:gridSpan w:val="13"/>
          </w:tcPr>
          <w:p>
            <w:pPr>
              <w:spacing w:after="0"/>
              <w:rPr>
                <w:sz w:val="13"/>
                <w:szCs w:val="13"/>
                <w:color w:val="auto"/>
              </w:rPr>
            </w:pPr>
          </w:p>
        </w:tc>
        <w:tc>
          <w:tcPr>
            <w:tcW w:w="14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Chief Financial Officer Certification pursuant to 18 U.S.C. Section 1350, as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9"/>
          </w:tcPr>
          <w:p>
            <w:pPr>
              <w:spacing w:after="0" w:line="161"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58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6"/>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Take-Two Interactive Software, Inc. Policy for the Recovery of Erroneously</w:t>
              </w:r>
            </w:hyperlink>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5/22/2024</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9"/>
              </w:rPr>
            </w:pPr>
            <w:hyperlink r:id="rId153">
              <w:r>
                <w:rPr>
                  <w:rFonts w:ascii="Times New Roman" w:cs="Times New Roman" w:eastAsia="Times New Roman" w:hAnsi="Times New Roman"/>
                  <w:sz w:val="17"/>
                  <w:szCs w:val="17"/>
                  <w:color w:val="0000FF"/>
                  <w:w w:val="99"/>
                </w:rPr>
                <w:t>Awarded Compensation</w:t>
              </w:r>
            </w:hyperlink>
          </w:p>
        </w:tc>
        <w:tc>
          <w:tcPr>
            <w:tcW w:w="3640" w:type="dxa"/>
            <w:vAlign w:val="bottom"/>
            <w:tcBorders>
              <w:top w:val="single" w:sz="8" w:color="0000FF"/>
            </w:tcBorders>
            <w:gridSpan w:val="20"/>
          </w:tcPr>
          <w:p>
            <w:pPr>
              <w:spacing w:after="0"/>
              <w:rPr>
                <w:sz w:val="13"/>
                <w:szCs w:val="13"/>
                <w:color w:val="auto"/>
              </w:rPr>
            </w:pPr>
          </w:p>
        </w:tc>
        <w:tc>
          <w:tcPr>
            <w:tcW w:w="16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17"/>
                <w:szCs w:val="17"/>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The Instance Document does not appear in the Interactive Data File because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its XBRL tags are embedded within the Inline XBRL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19"/>
                <w:szCs w:val="19"/>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19"/>
                <w:szCs w:val="19"/>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Label Linkbase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19"/>
                <w:szCs w:val="19"/>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19"/>
                <w:szCs w:val="19"/>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ind w:left="1460" w:right="3380" w:hanging="915"/>
        <w:spacing w:after="0" w:line="250" w:lineRule="auto"/>
        <w:tabs>
          <w:tab w:leader="none" w:pos="1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15875</wp:posOffset>
            </wp:positionV>
            <wp:extent cx="581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4">
                      <a:extLst>
                        <a:ext uri="{28A0092B-C50C-407E-A947-70E740481C1C}"/>
                      </a:extLst>
                    </a:blip>
                    <a:srcRect/>
                    <a:stretch>
                      <a:fillRect/>
                    </a:stretch>
                  </pic:blipFill>
                  <pic:spPr bwMode="auto">
                    <a:xfrm>
                      <a:off x="0" y="0"/>
                      <a:ext cx="581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X</w:t>
      </w:r>
    </w:p>
    <w:p>
      <w:pPr>
        <w:spacing w:after="0" w:line="411" w:lineRule="exact"/>
        <w:rPr>
          <w:sz w:val="20"/>
          <w:szCs w:val="20"/>
          <w:color w:val="auto"/>
        </w:rPr>
      </w:pPr>
    </w:p>
    <w:p>
      <w:pPr>
        <w:sectPr>
          <w:pgSz w:w="11900" w:h="16838" w:orient="portrait"/>
          <w:cols w:equalWidth="0" w:num="2">
            <w:col w:w="10180" w:space="300"/>
            <w:col w:w="640"/>
          </w:cols>
          <w:pgMar w:left="320" w:top="1159" w:right="459" w:bottom="1440" w:gutter="0" w:footer="0" w:header="0"/>
          <w:type w:val="continuous"/>
        </w:sectPr>
      </w:pP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36" w:lineRule="exact"/>
        <w:rPr>
          <w:sz w:val="20"/>
          <w:szCs w:val="20"/>
          <w:color w:val="auto"/>
        </w:rPr>
      </w:pPr>
    </w:p>
    <w:p>
      <w:pPr>
        <w:ind w:left="380" w:hanging="377"/>
        <w:spacing w:after="0" w:line="275" w:lineRule="auto"/>
        <w:tabs>
          <w:tab w:leader="none" w:pos="19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601(a)(5) of Regulation S-K. A copy of any omitted schedule will be furnished supplementally to the U.S. Securities and Exchange Commission upon request; provided, however, that the Company may request confidential treatment pursuant to Rule 24b-2 of the Exchange Act for any document so furnished.</w:t>
      </w:r>
    </w:p>
    <w:p>
      <w:pPr>
        <w:spacing w:after="0" w:line="9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Represents a management contract or compensatory plan or arrangement.</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159" w:right="459" w:bottom="1440" w:gutter="0" w:footer="0" w:header="0"/>
          <w:type w:val="continuous"/>
        </w:sectPr>
      </w:pPr>
    </w:p>
    <w:bookmarkStart w:id="60" w:name="page61"/>
    <w:bookmarkEnd w:id="60"/>
    <w:p>
      <w:pPr>
        <w:ind w:left="380" w:right="80" w:hanging="377"/>
        <w:spacing w:after="0" w:line="275" w:lineRule="auto"/>
        <w:tabs>
          <w:tab w:leader="none" w:pos="37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thereof were omitted and filed separately with the Securities and Exchange Commission pursuant to a request for confidential treatment that was granted in accordance with Exchange Act Rule 24b-2.</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Portions of this exhibit have been redacted in compliance with Regulation S-K Item 601(b)(10).</w:t>
      </w:r>
    </w:p>
    <w:p>
      <w:pPr>
        <w:spacing w:after="0" w:line="140" w:lineRule="exact"/>
        <w:rPr>
          <w:sz w:val="20"/>
          <w:szCs w:val="20"/>
          <w:color w:val="auto"/>
        </w:rPr>
      </w:pPr>
    </w:p>
    <w:p>
      <w:pPr>
        <w:jc w:val="both"/>
        <w:ind w:firstLine="234"/>
        <w:spacing w:after="0" w:line="261" w:lineRule="auto"/>
        <w:rPr>
          <w:sz w:val="20"/>
          <w:szCs w:val="20"/>
          <w:color w:val="auto"/>
        </w:rPr>
      </w:pPr>
      <w:r>
        <w:rPr>
          <w:rFonts w:ascii="Times New Roman" w:cs="Times New Roman" w:eastAsia="Times New Roman" w:hAnsi="Times New Roman"/>
          <w:sz w:val="17"/>
          <w:szCs w:val="17"/>
          <w:color w:val="auto"/>
        </w:rPr>
        <w:t>Attached as Exhibit 101 to this report are the following formatted in XBRL (Extensible Business Reporting Language): (i) Consolidated Balance Sheets at March 31, 2025 and 2024, (ii) Consolidated Statements of Operations for the fiscal years ended March 31, 2025, 2024, and 2023, (iii) Consolidated Statements of Comprehensive Loss for the fiscal years ended March 31, 2025, 2024, and 2023, (iv) Consolidated Statements of Cash Flows for the fiscal years ended March 31, 2025, 2024, and 2023, (v) Consolidated Statements of Stockholders' Equity for the fiscal years ended March 31, 2025, 2024, and 2023, and (vi) Notes to the Consolidated Financial Statements.</w:t>
      </w:r>
    </w:p>
    <w:p>
      <w:pPr>
        <w:spacing w:after="0" w:line="10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FISCAL YEAR ENDED MARCH 31, 2025</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5"/>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Reports of Independent Registered Public Accounting Firm </w:t>
            </w:r>
            <w:r>
              <w:rPr>
                <w:rFonts w:ascii="Times New Roman" w:cs="Times New Roman" w:eastAsia="Times New Roman" w:hAnsi="Times New Roman"/>
                <w:sz w:val="15"/>
                <w:szCs w:val="15"/>
                <w:color w:val="000000"/>
              </w:rPr>
              <w:t>(Ernst &amp; Young LLP, New York, New York, PCAOB ID 42)</w:t>
            </w: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0640" w:type="dxa"/>
            <w:vAlign w:val="bottom"/>
            <w:tcBorders>
              <w:bottom w:val="single" w:sz="8" w:color="0000FF"/>
            </w:tcBorders>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0000FF"/>
            </w:tcBorders>
          </w:tcPr>
          <w:p>
            <w:pPr>
              <w:jc w:val="center"/>
              <w:spacing w:after="0" w:line="148" w:lineRule="exact"/>
              <w:rPr>
                <w:sz w:val="20"/>
                <w:szCs w:val="20"/>
                <w:color w:val="auto"/>
              </w:rPr>
            </w:pPr>
            <w:r>
              <w:rPr>
                <w:rFonts w:ascii="Times New Roman" w:cs="Times New Roman" w:eastAsia="Times New Roman" w:hAnsi="Times New Roman"/>
                <w:sz w:val="17"/>
                <w:szCs w:val="17"/>
                <w:color w:val="0000FF"/>
              </w:rPr>
              <w:t>61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Balance Sheets</w:t>
            </w:r>
            <w:r>
              <w:rPr>
                <w:rFonts w:ascii="Times New Roman" w:cs="Times New Roman" w:eastAsia="Times New Roman" w:hAnsi="Times New Roman"/>
                <w:sz w:val="17"/>
                <w:szCs w:val="17"/>
                <w:color w:val="000000"/>
              </w:rPr>
              <w:t>—At March 31, 2025 and 2024</w:t>
            </w:r>
          </w:p>
        </w:tc>
        <w:tc>
          <w:tcPr>
            <w:tcW w:w="380" w:type="dxa"/>
            <w:vAlign w:val="bottom"/>
            <w:gridSpan w:val="2"/>
          </w:tcPr>
          <w:p>
            <w:pPr>
              <w:jc w:val="center"/>
              <w:ind w:left="117"/>
              <w:spacing w:after="0"/>
              <w:rPr>
                <w:sz w:val="20"/>
                <w:szCs w:val="20"/>
                <w:color w:val="auto"/>
              </w:rPr>
            </w:pPr>
            <w:r>
              <w:rPr>
                <w:rFonts w:ascii="Times New Roman" w:cs="Times New Roman" w:eastAsia="Times New Roman" w:hAnsi="Times New Roman"/>
                <w:sz w:val="17"/>
                <w:szCs w:val="17"/>
                <w:color w:val="0000FF"/>
              </w:rPr>
              <w:t>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w:t>
            </w:r>
            <w:r>
              <w:rPr>
                <w:rFonts w:ascii="Times New Roman" w:cs="Times New Roman" w:eastAsia="Times New Roman" w:hAnsi="Times New Roman"/>
                <w:sz w:val="17"/>
                <w:szCs w:val="17"/>
                <w:color w:val="000000"/>
              </w:rPr>
              <w:t>—For the fiscal years ended March 31, 2025, 2024, and 2023</w:t>
            </w:r>
          </w:p>
        </w:tc>
        <w:tc>
          <w:tcPr>
            <w:tcW w:w="380" w:type="dxa"/>
            <w:vAlign w:val="bottom"/>
            <w:gridSpan w:val="2"/>
          </w:tcPr>
          <w:p>
            <w:pPr>
              <w:jc w:val="center"/>
              <w:ind w:left="117"/>
              <w:spacing w:after="0"/>
              <w:rPr>
                <w:sz w:val="20"/>
                <w:szCs w:val="20"/>
                <w:color w:val="auto"/>
              </w:rPr>
            </w:pPr>
            <w:r>
              <w:rPr>
                <w:rFonts w:ascii="Times New Roman" w:cs="Times New Roman" w:eastAsia="Times New Roman" w:hAnsi="Times New Roman"/>
                <w:sz w:val="17"/>
                <w:szCs w:val="17"/>
                <w:color w:val="0000FF"/>
              </w:rPr>
              <w:t>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w:t>
            </w:r>
            <w:r>
              <w:rPr>
                <w:rFonts w:ascii="Times New Roman" w:cs="Times New Roman" w:eastAsia="Times New Roman" w:hAnsi="Times New Roman"/>
                <w:sz w:val="17"/>
                <w:szCs w:val="17"/>
                <w:color w:val="000000"/>
              </w:rPr>
              <w:t>—For the fiscal years ended March 31, 2025, 2024, and 2023</w:t>
            </w:r>
          </w:p>
        </w:tc>
        <w:tc>
          <w:tcPr>
            <w:tcW w:w="380" w:type="dxa"/>
            <w:vAlign w:val="bottom"/>
            <w:gridSpan w:val="2"/>
          </w:tcPr>
          <w:p>
            <w:pPr>
              <w:jc w:val="center"/>
              <w:ind w:left="117"/>
              <w:spacing w:after="0"/>
              <w:rPr>
                <w:sz w:val="20"/>
                <w:szCs w:val="20"/>
                <w:color w:val="auto"/>
              </w:rPr>
            </w:pPr>
            <w:r>
              <w:rPr>
                <w:rFonts w:ascii="Times New Roman" w:cs="Times New Roman" w:eastAsia="Times New Roman" w:hAnsi="Times New Roman"/>
                <w:sz w:val="17"/>
                <w:szCs w:val="17"/>
                <w:color w:val="0000FF"/>
              </w:rPr>
              <w:t>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r>
              <w:rPr>
                <w:rFonts w:ascii="Times New Roman" w:cs="Times New Roman" w:eastAsia="Times New Roman" w:hAnsi="Times New Roman"/>
                <w:sz w:val="17"/>
                <w:szCs w:val="17"/>
                <w:color w:val="000000"/>
              </w:rPr>
              <w:t>—For the fiscal years ended March 31, 2025, 2024, and 2023</w:t>
            </w:r>
          </w:p>
        </w:tc>
        <w:tc>
          <w:tcPr>
            <w:tcW w:w="380" w:type="dxa"/>
            <w:vAlign w:val="bottom"/>
            <w:gridSpan w:val="2"/>
          </w:tcPr>
          <w:p>
            <w:pPr>
              <w:jc w:val="center"/>
              <w:ind w:left="117"/>
              <w:spacing w:after="0"/>
              <w:rPr>
                <w:sz w:val="20"/>
                <w:szCs w:val="20"/>
                <w:color w:val="auto"/>
              </w:rPr>
            </w:pPr>
            <w:r>
              <w:rPr>
                <w:rFonts w:ascii="Times New Roman" w:cs="Times New Roman" w:eastAsia="Times New Roman" w:hAnsi="Times New Roman"/>
                <w:sz w:val="17"/>
                <w:szCs w:val="17"/>
                <w:color w:val="0000FF"/>
              </w:rPr>
              <w:t>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r>
              <w:rPr>
                <w:rFonts w:ascii="Times New Roman" w:cs="Times New Roman" w:eastAsia="Times New Roman" w:hAnsi="Times New Roman"/>
                <w:sz w:val="17"/>
                <w:szCs w:val="17"/>
                <w:color w:val="000000"/>
              </w:rPr>
              <w:t>—For the fiscal years ended March 31, 2025, 2024, and 2023</w:t>
            </w:r>
          </w:p>
        </w:tc>
        <w:tc>
          <w:tcPr>
            <w:tcW w:w="380" w:type="dxa"/>
            <w:vAlign w:val="bottom"/>
            <w:gridSpan w:val="2"/>
          </w:tcPr>
          <w:p>
            <w:pPr>
              <w:jc w:val="center"/>
              <w:ind w:left="117"/>
              <w:spacing w:after="0"/>
              <w:rPr>
                <w:sz w:val="20"/>
                <w:szCs w:val="20"/>
                <w:color w:val="auto"/>
              </w:rPr>
            </w:pPr>
            <w:r>
              <w:rPr>
                <w:rFonts w:ascii="Times New Roman" w:cs="Times New Roman" w:eastAsia="Times New Roman" w:hAnsi="Times New Roman"/>
                <w:sz w:val="17"/>
                <w:szCs w:val="17"/>
                <w:color w:val="0000FF"/>
              </w:rPr>
              <w:t>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Notes to the Consolidated Financial Statements</w:t>
            </w:r>
          </w:p>
        </w:tc>
        <w:tc>
          <w:tcPr>
            <w:tcW w:w="120" w:type="dxa"/>
            <w:vAlign w:val="bottom"/>
            <w:tcBorders>
              <w:top w:val="single" w:sz="8" w:color="0000FF"/>
            </w:tcBorders>
          </w:tcPr>
          <w:p>
            <w:pPr>
              <w:spacing w:after="0"/>
              <w:rPr>
                <w:sz w:val="17"/>
                <w:szCs w:val="17"/>
                <w:color w:val="auto"/>
              </w:rPr>
            </w:pPr>
          </w:p>
        </w:tc>
        <w:tc>
          <w:tcPr>
            <w:tcW w:w="72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4" w:right="339" w:bottom="1440" w:gutter="0" w:footer="0" w:header="0"/>
        </w:sectPr>
      </w:pPr>
    </w:p>
    <w:bookmarkStart w:id="62" w:name="page63"/>
    <w:bookmarkEnd w:id="62"/>
    <w:p>
      <w:pPr>
        <w:ind w:right="3460" w:firstLine="3470"/>
        <w:spacing w:after="0" w:line="423"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Take-Two Interactive Software, Inc. </w:t>
      </w:r>
      <w:r>
        <w:rPr>
          <w:rFonts w:ascii="Times New Roman" w:cs="Times New Roman" w:eastAsia="Times New Roman" w:hAnsi="Times New Roman"/>
          <w:sz w:val="17"/>
          <w:szCs w:val="17"/>
          <w:b w:val="1"/>
          <w:bCs w:val="1"/>
          <w:color w:val="auto"/>
        </w:rPr>
        <w:t>Opinion on the Financial Statements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Take-Two Interactive Software, Inc. (the Company) as of March 31, 2025 and 2024, the related consolidated statements of operations, comprehensive loss, cash flows and stockholders’ equity for each of the three years in the period ended March 31, 2025, and the related notes (collectively referred to as the “consolidated financial statements”). In our opinion, the consolidated financial statements present fairly, in all material respects, the financial position of the Company at March 31, 2025 and 2024, and the results of its operations and its cash flows for each of the three years in the period ended March 31, 2025, in conformity with U.S. generally accepted accounting principles.</w:t>
      </w:r>
    </w:p>
    <w:p>
      <w:pPr>
        <w:spacing w:after="0" w:line="9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March 31, 2025, based on criteria established in Internal Control-Integrated Framework issued by the Committee of Sponsoring Organizations of the Treadway Commission (2013 framework) and our report dated May 20, 2025 expressed an unqualified opinion thereon.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63" w:name="page64"/>
    <w:bookmarkEnd w:id="63"/>
    <w:p>
      <w:pPr>
        <w:spacing w:after="0" w:line="247"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rPr>
          <w:sz w:val="20"/>
          <w:szCs w:val="20"/>
          <w:color w:val="auto"/>
        </w:rPr>
      </w:pPr>
      <w:r>
        <w:rPr>
          <w:rFonts w:ascii="Times New Roman" w:cs="Times New Roman" w:eastAsia="Times New Roman" w:hAnsi="Times New Roman"/>
          <w:sz w:val="17"/>
          <w:szCs w:val="17"/>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rPr>
          <w:sz w:val="20"/>
          <w:szCs w:val="20"/>
          <w:color w:val="auto"/>
        </w:rPr>
      </w:pPr>
      <w:r>
        <w:rPr>
          <w:rFonts w:ascii="Times New Roman" w:cs="Times New Roman" w:eastAsia="Times New Roman" w:hAnsi="Times New Roman"/>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intangible assets that are subject to amortization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March 31, 2025, the Company's intangible assets that are subject to amortization included developed game technology and branding and trade names of $1,842.4 million and $255.5 million, respectively. As disclosed in Note 1 to the consolidated financial statements, intangible assets that are subject to amortization are tested for impairment whenever events or changes in circumstances indicate that the related carrying amount of an asset or asset group may not be recoverable. The carrying amount of the asset is compared to the estimated undiscounted future cash flows that are expected to result from the use of the asset. As disclosed in Note 9 to the consolidated financial statements, during the fiscal year ended March 31, 2025, the Company recorded impairment charges of $137.0 million related to certain of its developed game technology intangible assets and $39.3 million related to certain of its branding and trade names intangible assets.</w:t>
      </w:r>
    </w:p>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Auditing the Company’s impairment tests was complex due to the significant management judgment and estimation uncertainty in determining the fair value of certain intangible assets that were tested for impairment. The significant assumptions used to estimate the value of the intangible assets included forecasted revenue, EBITDA margins, and royalty rate. These significant assumptions were forward-looking and could be affected by future company-specific, economic and market conditions.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controls over its process to determine the fair value of intangible assets that are subject to amortization being measured for impairment. For example, we tested controls over management’s review of the significant assumptions used to estimate the fair value of the developed game technology intangible assets that were tested for impairment.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 test the estimated fair value of the developed game technology and branding and trade names intangible assets that were impaired, our audit procedures included, among others, evaluating the valuation methodology used, evaluating the significant assumptions described above and testing the completeness and accuracy of the underlying data used by the Company in its analyses. For example, we evaluated the Company’s forecasted revenue and EBITDA margins by considering historical results and current industry and economic trends. In addition, we involved our internal valuation specialists to assist in testing the methodology and certain significant assumptions used to value the branding and trade names intangible assets that were tested for impairment. We also performed a sensitivity analysis on certain of the significant assumptions to evaluate the change in the fair value estimates that would result from changes in assumptions.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 for a certain reporting unit</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March 31, 2025, the Company’s goodwill balance was $1,057.3 million. As disclosed in Note 1 to the consolidated financial statements, goodwill is tested for impairment annually, or more frequently if events and circumstances indicate the fair value of a reporting unit may be below its carrying amount. If the carrying value exceeds the fair value, an impairment charge is recognized equal to the difference between the carrying value of the reporting unit and its fair value. As disclosed in Note 9 to the consolidated financial statements, during the fiscal year ended March 31, 2025, the Company recorded impairment charges of $3,545.2 million, representing a partial impairment related to a certain reporting unit.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Auditing the Company’s impairment test was complex due to the significant management judgment and estimation uncertainty involved in determining the fair value of the reporting unit that was quantitatively tested for impairment. The significant assumptions used to estimate the value of the reporting unit included forecasted revenue, EBITDA margins, and discount rate. These significant assumptions are forward-looking and could be affected by future company-specific, economic and market conditions.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controls over its process to determine the fair value of the reporting unit that was impaired. For example, we tested controls over management’s review of the significant assumptions used to estimate the fair value of the reporting unit that was impaired.</w:t>
      </w:r>
    </w:p>
    <w:p>
      <w:pPr>
        <w:spacing w:after="0" w:line="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 test the estimated fair value of the reporting unit that was impaired, our audit procedures included, among others, evaluating the valuation methodologies used, evaluating the significant assumptions described above and testing the completeness and accuracy of the underlying data used by the Company in its analyses. For example, we evaluated the Company’s forecasted revenue and EBITDA margins by considering historical results and current industry and economic trends. In addition, we involved our internal valuation specialists to assist in testing the methodologies and certain significant assumptions used to value the reporting unit that was impaired. We performed a sensitivity analysis on certain of the significant assumptions to evaluate the change in the fair value estimate that would result from changes in assumptions.</w:t>
      </w:r>
    </w:p>
    <w:p>
      <w:pPr>
        <w:spacing w:after="0" w:line="200" w:lineRule="exact"/>
        <w:rPr>
          <w:sz w:val="20"/>
          <w:szCs w:val="20"/>
          <w:color w:val="auto"/>
        </w:rPr>
      </w:pPr>
    </w:p>
    <w:p>
      <w:pPr>
        <w:sectPr>
          <w:pgSz w:w="11900" w:h="16838" w:orient="portrait"/>
          <w:cols w:equalWidth="0" w:num="2">
            <w:col w:w="1320" w:space="220"/>
            <w:col w:w="9660"/>
          </w:cols>
          <w:pgMar w:left="340" w:top="9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77470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903"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2025</w:t>
      </w:r>
    </w:p>
    <w:p>
      <w:pPr>
        <w:spacing w:after="0" w:line="200" w:lineRule="exact"/>
        <w:rPr>
          <w:sz w:val="20"/>
          <w:szCs w:val="20"/>
          <w:color w:val="auto"/>
        </w:rPr>
      </w:pPr>
    </w:p>
    <w:p>
      <w:pPr>
        <w:spacing w:after="0" w:line="30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90" w:right="1440" w:bottom="1440" w:gutter="0" w:footer="0" w:header="0"/>
        </w:sectPr>
      </w:pPr>
    </w:p>
    <w:bookmarkStart w:id="65" w:name="page66"/>
    <w:bookmarkEnd w:id="65"/>
    <w:p>
      <w:pPr>
        <w:ind w:right="2680" w:firstLine="2679"/>
        <w:spacing w:after="0" w:line="423"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Take-Two Interactive Software, Inc. </w:t>
      </w:r>
      <w:r>
        <w:rPr>
          <w:rFonts w:ascii="Times New Roman" w:cs="Times New Roman" w:eastAsia="Times New Roman" w:hAnsi="Times New Roman"/>
          <w:sz w:val="17"/>
          <w:szCs w:val="17"/>
          <w:b w:val="1"/>
          <w:bCs w:val="1"/>
          <w:color w:val="auto"/>
        </w:rPr>
        <w:t>Opinion on Internal Control Over Financial Reporting</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audited Take-Two Interactive Software, Inc.’s internal control over financial reporting as of March 31, 2025, based on criteria established in Internal Control—Integrated Framework issued by the Committee of Sponsoring Organizations of the Treadway Commission (2013 framework) (the COSO criteria). In our opinion, Take-Two Interactive Software, Inc. (the Company) maintained, in all material respects, effective internal control over financial reporting as of March 31, 2025, based on the COSO criteria.</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Gearbox, which is included in the 2025 consolidated financial statements of the Company and constituted 3.7% of total assets as of March 31, 2025 and 0.4% of net revenue for the year then ended. Our audit of internal control over financial reporting of the Company also did not include an evaluation of the internal control over financial reporting of Gearbox.</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March 31, 2025 and 2024, the related consolidated statements of operations, comprehensive loss, cash flows and stockholders’ equity for each of the three years in the period ended March 31, 2025, and the related notes and our report dated May 20, 2025 expressed an unqualified opinion thereon.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700"/>
        <w:spacing w:after="0" w:line="26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2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center"/>
              <w:ind w:right="30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1,456.1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754.0</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Short-term investments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Accounts receivable, net of allowances of $1.6 and $1.2 at March 31, 2025 and 2024, respectively</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771.1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679.7</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Software development costs and licenses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Contract assets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402.8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w:t>
            </w:r>
          </w:p>
        </w:tc>
        <w:tc>
          <w:tcPr>
            <w:tcW w:w="0" w:type="dxa"/>
            <w:vAlign w:val="bottom"/>
          </w:tcPr>
          <w:p>
            <w:pPr>
              <w:spacing w:after="0"/>
              <w:rPr>
                <w:sz w:val="1"/>
                <w:szCs w:val="1"/>
                <w:color w:val="auto"/>
              </w:rPr>
            </w:pPr>
          </w:p>
        </w:tc>
      </w:tr>
      <w:tr>
        <w:trPr>
          <w:trHeight w:val="199"/>
        </w:trPr>
        <w:tc>
          <w:tcPr>
            <w:tcW w:w="81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2,815.9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2,259.7</w:t>
            </w:r>
          </w:p>
        </w:tc>
        <w:tc>
          <w:tcPr>
            <w:tcW w:w="0" w:type="dxa"/>
            <w:vAlign w:val="bottom"/>
          </w:tcPr>
          <w:p>
            <w:pPr>
              <w:spacing w:after="0"/>
              <w:rPr>
                <w:sz w:val="1"/>
                <w:szCs w:val="1"/>
                <w:color w:val="auto"/>
              </w:rPr>
            </w:pPr>
          </w:p>
        </w:tc>
      </w:tr>
      <w:tr>
        <w:trPr>
          <w:trHeight w:val="200"/>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Fixed assets,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443.8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Right-of-use assets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326.1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325.7</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Software development costs and licenses, net of current portion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1,892.6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1,446.5</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1,057.3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4,426.4</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intangibles,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2,336.0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3,060.6</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Long-term restricted cash and cash equivalents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220.8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0" w:type="dxa"/>
            <w:vAlign w:val="bottom"/>
          </w:tcPr>
          <w:p>
            <w:pPr>
              <w:spacing w:after="0"/>
              <w:rPr>
                <w:sz w:val="1"/>
                <w:szCs w:val="1"/>
                <w:color w:val="auto"/>
              </w:rPr>
            </w:pPr>
          </w:p>
        </w:tc>
      </w:tr>
      <w:tr>
        <w:trPr>
          <w:trHeight w:val="199"/>
        </w:trPr>
        <w:tc>
          <w:tcPr>
            <w:tcW w:w="828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9,180.7</w:t>
            </w:r>
          </w:p>
        </w:tc>
        <w:tc>
          <w:tcPr>
            <w:tcW w:w="10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12,216.9</w:t>
            </w:r>
          </w:p>
        </w:tc>
        <w:tc>
          <w:tcPr>
            <w:tcW w:w="0" w:type="dxa"/>
            <w:vAlign w:val="bottom"/>
          </w:tcPr>
          <w:p>
            <w:pPr>
              <w:spacing w:after="0"/>
              <w:rPr>
                <w:sz w:val="1"/>
                <w:szCs w:val="1"/>
                <w:color w:val="auto"/>
              </w:rPr>
            </w:pPr>
          </w:p>
        </w:tc>
      </w:tr>
      <w:tr>
        <w:trPr>
          <w:trHeight w:val="20"/>
        </w:trPr>
        <w:tc>
          <w:tcPr>
            <w:tcW w:w="2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jc w:val="center"/>
              <w:ind w:right="2323"/>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1,127.6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1,062.6</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1,083.5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1,059.5</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Lease liabilities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Short-term debt, net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1,148.5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199"/>
        </w:trPr>
        <w:tc>
          <w:tcPr>
            <w:tcW w:w="81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3,615.8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2,406.4</w:t>
            </w:r>
          </w:p>
        </w:tc>
        <w:tc>
          <w:tcPr>
            <w:tcW w:w="0" w:type="dxa"/>
            <w:vAlign w:val="bottom"/>
          </w:tcPr>
          <w:p>
            <w:pPr>
              <w:spacing w:after="0"/>
              <w:rPr>
                <w:sz w:val="1"/>
                <w:szCs w:val="1"/>
                <w:color w:val="auto"/>
              </w:rPr>
            </w:pPr>
          </w:p>
        </w:tc>
      </w:tr>
      <w:tr>
        <w:trPr>
          <w:trHeight w:val="200"/>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2,512.6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3,058.3</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Non-current deferred revenue</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25.4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Non-current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383.3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387.3</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Non-current software development royalties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259.6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340.9</w:t>
            </w:r>
          </w:p>
        </w:tc>
        <w:tc>
          <w:tcPr>
            <w:tcW w:w="0" w:type="dxa"/>
            <w:vAlign w:val="bottom"/>
          </w:tcPr>
          <w:p>
            <w:pPr>
              <w:spacing w:after="0"/>
              <w:rPr>
                <w:sz w:val="1"/>
                <w:szCs w:val="1"/>
                <w:color w:val="auto"/>
              </w:rPr>
            </w:pPr>
          </w:p>
        </w:tc>
      </w:tr>
      <w:tr>
        <w:trPr>
          <w:trHeight w:val="205"/>
        </w:trPr>
        <w:tc>
          <w:tcPr>
            <w:tcW w:w="81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152.7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211.1</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auto"/>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7,043.0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6,549.0</w:t>
            </w: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8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5"/>
                <w:szCs w:val="15"/>
                <w:color w:val="auto"/>
              </w:rPr>
              <w:t xml:space="preserve">Commitments and contingencies (See </w:t>
            </w:r>
            <w:r>
              <w:rPr>
                <w:rFonts w:ascii="Times New Roman" w:cs="Times New Roman" w:eastAsia="Times New Roman" w:hAnsi="Times New Roman"/>
                <w:sz w:val="15"/>
                <w:szCs w:val="15"/>
                <w:color w:val="0000FF"/>
              </w:rPr>
              <w:t>Note 14</w:t>
            </w:r>
            <w:r>
              <w:rPr>
                <w:rFonts w:ascii="Times New Roman" w:cs="Times New Roman" w:eastAsia="Times New Roman" w:hAnsi="Times New Roman"/>
                <w:sz w:val="15"/>
                <w:szCs w:val="15"/>
                <w:color w:val="auto"/>
              </w:rPr>
              <w: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500" w:type="dxa"/>
            <w:vAlign w:val="bottom"/>
            <w:tcBorders>
              <w:top w:val="single" w:sz="8" w:color="0000FF"/>
            </w:tcBorders>
            <w:shd w:val="clear" w:color="auto" w:fill="CCEEFF"/>
          </w:tcPr>
          <w:p>
            <w:pPr>
              <w:spacing w:after="0"/>
              <w:rPr>
                <w:sz w:val="18"/>
                <w:szCs w:val="18"/>
                <w:color w:val="auto"/>
              </w:rPr>
            </w:pPr>
          </w:p>
        </w:tc>
        <w:tc>
          <w:tcPr>
            <w:tcW w:w="53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Preferred stock, $0.01 par value, 5.0 shares authorized: no shares issued and outstanding at March 31, 2025 and 2024</w:t>
            </w: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8280" w:type="dxa"/>
            <w:vAlign w:val="bottom"/>
            <w:gridSpan w:val="4"/>
            <w:shd w:val="clear" w:color="auto" w:fill="CCEEFF"/>
          </w:tcPr>
          <w:p>
            <w:pPr>
              <w:ind w:left="140"/>
              <w:spacing w:after="0" w:line="157" w:lineRule="exact"/>
              <w:rPr>
                <w:sz w:val="20"/>
                <w:szCs w:val="20"/>
                <w:color w:val="auto"/>
              </w:rPr>
            </w:pPr>
            <w:r>
              <w:rPr>
                <w:rFonts w:ascii="Times New Roman" w:cs="Times New Roman" w:eastAsia="Times New Roman" w:hAnsi="Times New Roman"/>
                <w:sz w:val="15"/>
                <w:szCs w:val="15"/>
                <w:color w:val="auto"/>
              </w:rPr>
              <w:t>Common stock, $0.01 par value, 300.0 and 300.0 shares authorized; 200.8 and 194.5 shares issued and 177.1 and 170.8</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5"/>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outstanding at March 31, 2025 and 2024, respectively</w:t>
            </w:r>
          </w:p>
        </w:tc>
        <w:tc>
          <w:tcPr>
            <w:tcW w:w="3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10,312.0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9,371.6</w:t>
            </w:r>
          </w:p>
        </w:tc>
        <w:tc>
          <w:tcPr>
            <w:tcW w:w="0" w:type="dxa"/>
            <w:vAlign w:val="bottom"/>
          </w:tcPr>
          <w:p>
            <w:pPr>
              <w:spacing w:after="0"/>
              <w:rPr>
                <w:sz w:val="1"/>
                <w:szCs w:val="1"/>
                <w:color w:val="auto"/>
              </w:rPr>
            </w:pPr>
          </w:p>
        </w:tc>
      </w:tr>
      <w:tr>
        <w:trPr>
          <w:trHeight w:val="207"/>
        </w:trPr>
        <w:tc>
          <w:tcPr>
            <w:tcW w:w="8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at cost; 23.7 and 23.7 common shares at March 31, 2025 and 2024,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(1,020.6)</w:t>
            </w:r>
          </w:p>
        </w:tc>
        <w:tc>
          <w:tcPr>
            <w:tcW w:w="0" w:type="dxa"/>
            <w:vAlign w:val="bottom"/>
          </w:tcPr>
          <w:p>
            <w:pPr>
              <w:spacing w:after="0"/>
              <w:rPr>
                <w:sz w:val="1"/>
                <w:szCs w:val="1"/>
                <w:color w:val="auto"/>
              </w:rPr>
            </w:pPr>
          </w:p>
        </w:tc>
      </w:tr>
      <w:tr>
        <w:trPr>
          <w:trHeight w:val="205"/>
        </w:trPr>
        <w:tc>
          <w:tcPr>
            <w:tcW w:w="828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(Accumulated Deficit) / Retained earnings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(7,058.8)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(2,579.9)</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0" w:type="dxa"/>
            <w:vAlign w:val="bottom"/>
          </w:tcPr>
          <w:p>
            <w:pPr>
              <w:spacing w:after="0"/>
              <w:rPr>
                <w:sz w:val="1"/>
                <w:szCs w:val="1"/>
                <w:color w:val="auto"/>
              </w:rPr>
            </w:pPr>
          </w:p>
        </w:tc>
      </w:tr>
      <w:tr>
        <w:trPr>
          <w:trHeight w:val="199"/>
        </w:trPr>
        <w:tc>
          <w:tcPr>
            <w:tcW w:w="81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2,137.7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5,667.9</w:t>
            </w:r>
          </w:p>
        </w:tc>
        <w:tc>
          <w:tcPr>
            <w:tcW w:w="0" w:type="dxa"/>
            <w:vAlign w:val="bottom"/>
          </w:tcPr>
          <w:p>
            <w:pPr>
              <w:spacing w:after="0"/>
              <w:rPr>
                <w:sz w:val="1"/>
                <w:szCs w:val="1"/>
                <w:color w:val="auto"/>
              </w:rPr>
            </w:pPr>
          </w:p>
        </w:tc>
      </w:tr>
      <w:tr>
        <w:trPr>
          <w:trHeight w:val="219"/>
        </w:trPr>
        <w:tc>
          <w:tcPr>
            <w:tcW w:w="82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9,180.7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12,216.9</w:t>
            </w:r>
          </w:p>
        </w:tc>
        <w:tc>
          <w:tcPr>
            <w:tcW w:w="0" w:type="dxa"/>
            <w:vAlign w:val="bottom"/>
          </w:tcPr>
          <w:p>
            <w:pPr>
              <w:spacing w:after="0"/>
              <w:rPr>
                <w:sz w:val="1"/>
                <w:szCs w:val="1"/>
                <w:color w:val="auto"/>
              </w:rPr>
            </w:pPr>
          </w:p>
        </w:tc>
      </w:tr>
      <w:tr>
        <w:trPr>
          <w:trHeight w:val="20"/>
        </w:trPr>
        <w:tc>
          <w:tcPr>
            <w:tcW w:w="2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6"/>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5,167.5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4,693.5</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4,735.6</w:t>
            </w:r>
          </w:p>
        </w:tc>
      </w:tr>
      <w:tr>
        <w:trPr>
          <w:trHeight w:val="21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Advertising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614.3</w:t>
            </w:r>
          </w:p>
        </w:tc>
      </w:tr>
      <w:tr>
        <w:trPr>
          <w:trHeight w:val="212"/>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5,349.9</w:t>
            </w:r>
          </w:p>
        </w:tc>
      </w:tr>
      <w:tr>
        <w:trPr>
          <w:trHeight w:val="21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3,064.6</w:t>
            </w:r>
          </w:p>
        </w:tc>
      </w:tr>
      <w:tr>
        <w:trPr>
          <w:trHeight w:val="212"/>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3,062.2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2,285.3</w:t>
            </w: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1,586.5</w:t>
            </w:r>
          </w:p>
        </w:tc>
      </w:tr>
      <w:tr>
        <w:trPr>
          <w:trHeight w:val="219"/>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887.6</w:t>
            </w: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839.5</w:t>
            </w:r>
          </w:p>
        </w:tc>
      </w:tr>
      <w:tr>
        <w:trPr>
          <w:trHeight w:val="219"/>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Goodwill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Business reorganization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2"/>
        </w:trPr>
        <w:tc>
          <w:tcPr>
            <w:tcW w:w="6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7,453.3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3,450.5</w:t>
            </w: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(4,391.1)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(1,165.2)</w:t>
            </w:r>
          </w:p>
        </w:tc>
      </w:tr>
      <w:tr>
        <w:trPr>
          <w:trHeight w:val="21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r>
      <w:tr>
        <w:trPr>
          <w:trHeight w:val="21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on fair value adjustments,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12"/>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(4,491.3)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(1,338.1)</w:t>
            </w:r>
          </w:p>
        </w:tc>
      </w:tr>
      <w:tr>
        <w:trPr>
          <w:trHeight w:val="21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r>
      <w:tr>
        <w:trPr>
          <w:trHeight w:val="237"/>
        </w:trPr>
        <w:tc>
          <w:tcPr>
            <w:tcW w:w="6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(1,124.7)</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6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Loss per share: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(1,124.7)</w:t>
            </w:r>
          </w:p>
        </w:tc>
      </w:tr>
      <w:tr>
        <w:trPr>
          <w:trHeight w:val="21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19"/>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available-for-sale securities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2"/>
        </w:trPr>
        <w:tc>
          <w:tcPr>
            <w:tcW w:w="6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12"/>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(4,470.7)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(1,180.7)</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gridSpan w:val="6"/>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5"/>
                <w:szCs w:val="15"/>
                <w:color w:val="auto"/>
              </w:rPr>
            </w:pPr>
          </w:p>
        </w:tc>
      </w:tr>
      <w:tr>
        <w:trPr>
          <w:trHeight w:val="22"/>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(4,478.9)</w:t>
            </w:r>
          </w:p>
        </w:tc>
        <w:tc>
          <w:tcPr>
            <w:tcW w:w="100" w:type="dxa"/>
            <w:vAlign w:val="bottom"/>
          </w:tcPr>
          <w:p>
            <w:pPr>
              <w:spacing w:after="0"/>
              <w:rPr>
                <w:sz w:val="16"/>
                <w:szCs w:val="16"/>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(3,744.2)</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(1,124.7)</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 and impairment of software development costs and licenses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w:t>
            </w: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Noncash lease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Amortization and impairment of intangibles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1,506.7</w:t>
            </w: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Depreciation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Goodwill impairment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Fair value adjustments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86"/>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Changes in assets and liabilities, net of effect from purchases of businesses: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Software development costs and licenses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Prepaid expenses, other current and other non-current assets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188"/>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9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r>
      <w:tr>
        <w:trPr>
          <w:trHeight w:val="181"/>
        </w:trPr>
        <w:tc>
          <w:tcPr>
            <w:tcW w:w="6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(45.2)</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bank time deposits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 and maturities of available-for-sale securities</w:t>
            </w:r>
          </w:p>
        </w:tc>
        <w:tc>
          <w:tcPr>
            <w:tcW w:w="8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Divestitures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sale of long-term investments</w:t>
            </w:r>
          </w:p>
        </w:tc>
        <w:tc>
          <w:tcPr>
            <w:tcW w:w="8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long-term investments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Business acquisitions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(3,310.9)</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1"/>
        </w:trPr>
        <w:tc>
          <w:tcPr>
            <w:tcW w:w="6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(151.5)</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(2,876.3)</w:t>
            </w:r>
          </w:p>
        </w:tc>
      </w:tr>
      <w:tr>
        <w:trPr>
          <w:trHeight w:val="19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payment related to net share settlements on restricted stock awards</w:t>
            </w:r>
          </w:p>
        </w:tc>
        <w:tc>
          <w:tcPr>
            <w:tcW w:w="8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debt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debt</w:t>
            </w:r>
          </w:p>
        </w:tc>
        <w:tc>
          <w:tcPr>
            <w:tcW w:w="8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Settlement of capped calls</w:t>
            </w:r>
          </w:p>
        </w:tc>
        <w:tc>
          <w:tcPr>
            <w:tcW w:w="8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for settlement of convertible notes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(1,166.8)</w:t>
            </w: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3,248.9</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contingent earn-out consideration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1"/>
        </w:trPr>
        <w:tc>
          <w:tcPr>
            <w:tcW w:w="6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650.5</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1,930.3</w:t>
            </w:r>
          </w:p>
        </w:tc>
      </w:tr>
      <w:tr>
        <w:trPr>
          <w:trHeight w:val="192"/>
        </w:trPr>
        <w:tc>
          <w:tcPr>
            <w:tcW w:w="66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Effects of foreign currency exchange rates on cash, cash equivalents, and restricted cash and cash equivalents</w:t>
            </w:r>
          </w:p>
        </w:tc>
        <w:tc>
          <w:tcPr>
            <w:tcW w:w="1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1"/>
        </w:trPr>
        <w:tc>
          <w:tcPr>
            <w:tcW w:w="6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and cash equivalents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Cash, cash equivalents, and restricted cash and cash equivalents, beginning of year </w:t>
            </w:r>
            <w:r>
              <w:rPr>
                <w:rFonts w:ascii="Times New Roman" w:cs="Times New Roman" w:eastAsia="Times New Roman" w:hAnsi="Times New Roman"/>
                <w:sz w:val="17"/>
                <w:szCs w:val="17"/>
                <w:color w:val="auto"/>
                <w:vertAlign w:val="superscript"/>
              </w:rPr>
              <w:t>(1)</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2,195.4</w:t>
            </w:r>
          </w:p>
        </w:tc>
      </w:tr>
      <w:tr>
        <w:trPr>
          <w:trHeight w:val="186"/>
        </w:trPr>
        <w:tc>
          <w:tcPr>
            <w:tcW w:w="6600" w:type="dxa"/>
            <w:vAlign w:val="bottom"/>
            <w:tcBorders>
              <w:top w:val="single" w:sz="8" w:color="auto"/>
              <w:bottom w:val="single" w:sz="8" w:color="auto"/>
            </w:tcBorders>
          </w:tcPr>
          <w:p>
            <w:pPr>
              <w:ind w:left="120"/>
              <w:spacing w:after="0" w:line="186"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equivalents, end of year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1,559.2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1,234.6</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8"/>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paid</w:t>
            </w:r>
          </w:p>
        </w:tc>
        <w:tc>
          <w:tcPr>
            <w:tcW w:w="880" w:type="dxa"/>
            <w:vAlign w:val="bottom"/>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147.1</w:t>
            </w:r>
          </w:p>
        </w:tc>
        <w:tc>
          <w:tcPr>
            <w:tcW w:w="100" w:type="dxa"/>
            <w:vAlign w:val="bottom"/>
          </w:tcPr>
          <w:p>
            <w:pPr>
              <w:spacing w:after="0"/>
              <w:rPr>
                <w:sz w:val="16"/>
                <w:szCs w:val="16"/>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99"/>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paid</w:t>
            </w: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r>
    </w:tbl>
    <w:p>
      <w:pPr>
        <w:spacing w:after="0" w:line="199" w:lineRule="exact"/>
        <w:rPr>
          <w:sz w:val="20"/>
          <w:szCs w:val="20"/>
          <w:color w:val="auto"/>
        </w:rPr>
      </w:pPr>
    </w:p>
    <w:p>
      <w:pPr>
        <w:ind w:left="160" w:right="440" w:hanging="157"/>
        <w:spacing w:after="0" w:line="275" w:lineRule="auto"/>
        <w:tabs>
          <w:tab w:leader="none" w:pos="144"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Cash, cash equivalents and restricted cash and cash equivalents shown on our Consolidated Statements of Cash Flow includes amounts in the Cash and cash equivalents, Restricted cash and cash equivalents, and Long-term restricted cash and cash equivalents on our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56"/>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60" w:type="dxa"/>
            <w:vAlign w:val="bottom"/>
            <w:gridSpan w:val="3"/>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Earnings/(Accumulated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40" w:type="dxa"/>
            <w:vAlign w:val="bottom"/>
          </w:tcPr>
          <w:p>
            <w:pPr>
              <w:spacing w:after="0"/>
              <w:rPr>
                <w:sz w:val="11"/>
                <w:szCs w:val="11"/>
                <w:color w:val="auto"/>
              </w:rPr>
            </w:pPr>
          </w:p>
        </w:tc>
        <w:tc>
          <w:tcPr>
            <w:tcW w:w="1000" w:type="dxa"/>
            <w:vAlign w:val="bottom"/>
          </w:tcPr>
          <w:p>
            <w:pPr>
              <w:jc w:val="center"/>
              <w:ind w:right="76"/>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5"/>
                <w:szCs w:val="15"/>
                <w:color w:val="auto"/>
              </w:rPr>
            </w:pPr>
          </w:p>
        </w:tc>
        <w:tc>
          <w:tcPr>
            <w:tcW w:w="10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9"/>
        </w:trPr>
        <w:tc>
          <w:tcPr>
            <w:tcW w:w="2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2022</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2,597.2</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5"/>
              </w:rPr>
              <w:t>(23.7)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2,289.0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3,809.7</w:t>
            </w:r>
          </w:p>
        </w:tc>
        <w:tc>
          <w:tcPr>
            <w:tcW w:w="0" w:type="dxa"/>
            <w:vAlign w:val="bottom"/>
          </w:tcPr>
          <w:p>
            <w:pPr>
              <w:spacing w:after="0"/>
              <w:rPr>
                <w:sz w:val="1"/>
                <w:szCs w:val="1"/>
                <w:color w:val="auto"/>
              </w:rPr>
            </w:pPr>
          </w:p>
        </w:tc>
      </w:tr>
      <w:tr>
        <w:trPr>
          <w:trHeight w:val="167"/>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(1,124.7)</w:t>
            </w:r>
          </w:p>
        </w:tc>
        <w:tc>
          <w:tcPr>
            <w:tcW w:w="0" w:type="dxa"/>
            <w:vAlign w:val="bottom"/>
          </w:tcPr>
          <w:p>
            <w:pPr>
              <w:spacing w:after="0"/>
              <w:rPr>
                <w:sz w:val="1"/>
                <w:szCs w:val="1"/>
                <w:color w:val="auto"/>
              </w:rPr>
            </w:pPr>
          </w:p>
        </w:tc>
      </w:tr>
      <w:tr>
        <w:trPr>
          <w:trHeight w:val="123"/>
        </w:trPr>
        <w:tc>
          <w:tcPr>
            <w:tcW w:w="278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Change in cumulative foreign currency translation</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102"/>
        </w:trPr>
        <w:tc>
          <w:tcPr>
            <w:tcW w:w="2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w:t>
            </w:r>
          </w:p>
        </w:tc>
        <w:tc>
          <w:tcPr>
            <w:tcW w:w="8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780" w:type="dxa"/>
            <w:vAlign w:val="bottom"/>
            <w:tcBorders>
              <w:bottom w:val="single" w:sz="8" w:color="CCEEFF"/>
            </w:tcBorders>
            <w:gridSpan w:val="2"/>
            <w:vMerge w:val="continue"/>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0" w:type="dxa"/>
            <w:vAlign w:val="bottom"/>
          </w:tcPr>
          <w:p>
            <w:pPr>
              <w:spacing w:after="0"/>
              <w:rPr>
                <w:sz w:val="1"/>
                <w:szCs w:val="1"/>
                <w:color w:val="auto"/>
              </w:rPr>
            </w:pPr>
          </w:p>
        </w:tc>
      </w:tr>
      <w:tr>
        <w:trPr>
          <w:trHeight w:val="123"/>
        </w:trPr>
        <w:tc>
          <w:tcPr>
            <w:tcW w:w="278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Net unrealized gain on available-for-sale securities,</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02"/>
        </w:trPr>
        <w:tc>
          <w:tcPr>
            <w:tcW w:w="2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of taxes</w:t>
            </w:r>
          </w:p>
        </w:tc>
        <w:tc>
          <w:tcPr>
            <w:tcW w:w="8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780" w:type="dxa"/>
            <w:vAlign w:val="bottom"/>
            <w:tcBorders>
              <w:bottom w:val="single" w:sz="8" w:color="CCEEFF"/>
            </w:tcBorders>
            <w:gridSpan w:val="2"/>
            <w:vMerge w:val="continue"/>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78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2"/>
                <w:szCs w:val="12"/>
                <w:color w:val="auto"/>
              </w:rPr>
              <w:t>Issuance of restricted stock, net of forfeitures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2"/>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cancellations</w:t>
            </w: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share settlement of restricted stock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0" w:type="dxa"/>
            <w:vAlign w:val="bottom"/>
          </w:tcPr>
          <w:p>
            <w:pPr>
              <w:spacing w:after="0"/>
              <w:rPr>
                <w:sz w:val="1"/>
                <w:szCs w:val="1"/>
                <w:color w:val="auto"/>
              </w:rPr>
            </w:pPr>
          </w:p>
        </w:tc>
      </w:tr>
      <w:tr>
        <w:trPr>
          <w:trHeight w:val="18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share purchase plan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shares related to Zynga acquisition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5,377.2</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5,377.7</w:t>
            </w:r>
          </w:p>
        </w:tc>
        <w:tc>
          <w:tcPr>
            <w:tcW w:w="0" w:type="dxa"/>
            <w:vAlign w:val="bottom"/>
          </w:tcPr>
          <w:p>
            <w:pPr>
              <w:spacing w:after="0"/>
              <w:rPr>
                <w:sz w:val="1"/>
                <w:szCs w:val="1"/>
                <w:color w:val="auto"/>
              </w:rPr>
            </w:pPr>
          </w:p>
        </w:tc>
      </w:tr>
      <w:tr>
        <w:trPr>
          <w:trHeight w:val="18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shares related to Popcore acquisition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0" w:type="dxa"/>
            <w:vAlign w:val="bottom"/>
          </w:tcPr>
          <w:p>
            <w:pPr>
              <w:spacing w:after="0"/>
              <w:rPr>
                <w:sz w:val="1"/>
                <w:szCs w:val="1"/>
                <w:color w:val="auto"/>
              </w:rPr>
            </w:pPr>
          </w:p>
        </w:tc>
      </w:tr>
      <w:tr>
        <w:trPr>
          <w:trHeight w:val="116"/>
        </w:trPr>
        <w:tc>
          <w:tcPr>
            <w:tcW w:w="278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2"/>
                <w:szCs w:val="12"/>
                <w:color w:val="auto"/>
              </w:rPr>
              <w:t>Stock-based compensation assumed in Zynga</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10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0" w:type="dxa"/>
            <w:vAlign w:val="bottom"/>
          </w:tcPr>
          <w:p>
            <w:pPr>
              <w:spacing w:after="0"/>
              <w:rPr>
                <w:sz w:val="1"/>
                <w:szCs w:val="1"/>
                <w:color w:val="auto"/>
              </w:rPr>
            </w:pPr>
          </w:p>
        </w:tc>
      </w:tr>
      <w:tr>
        <w:trPr>
          <w:trHeight w:val="102"/>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acquisition</w:t>
            </w:r>
          </w:p>
        </w:tc>
        <w:tc>
          <w:tcPr>
            <w:tcW w:w="8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shares related to Zynga convertible notes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w:t>
            </w:r>
          </w:p>
        </w:tc>
        <w:tc>
          <w:tcPr>
            <w:tcW w:w="0" w:type="dxa"/>
            <w:vAlign w:val="bottom"/>
          </w:tcPr>
          <w:p>
            <w:pPr>
              <w:spacing w:after="0"/>
              <w:rPr>
                <w:sz w:val="1"/>
                <w:szCs w:val="1"/>
                <w:color w:val="auto"/>
              </w:rPr>
            </w:pPr>
          </w:p>
        </w:tc>
      </w:tr>
      <w:tr>
        <w:trPr>
          <w:trHeight w:val="167"/>
        </w:trPr>
        <w:tc>
          <w:tcPr>
            <w:tcW w:w="2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Balance, March 31, 2023</w:t>
            </w:r>
          </w:p>
        </w:tc>
        <w:tc>
          <w:tcPr>
            <w:tcW w:w="10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0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9,010.2</w:t>
            </w:r>
          </w:p>
        </w:tc>
        <w:tc>
          <w:tcPr>
            <w:tcW w:w="1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5"/>
              </w:rPr>
              <w:t>(23.7)</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1,164.3</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9,042.5</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(3,744.2)</w:t>
            </w:r>
          </w:p>
        </w:tc>
        <w:tc>
          <w:tcPr>
            <w:tcW w:w="0" w:type="dxa"/>
            <w:vAlign w:val="bottom"/>
          </w:tcPr>
          <w:p>
            <w:pPr>
              <w:spacing w:after="0"/>
              <w:rPr>
                <w:sz w:val="1"/>
                <w:szCs w:val="1"/>
                <w:color w:val="auto"/>
              </w:rPr>
            </w:pPr>
          </w:p>
        </w:tc>
      </w:tr>
      <w:tr>
        <w:trPr>
          <w:trHeight w:val="116"/>
        </w:trPr>
        <w:tc>
          <w:tcPr>
            <w:tcW w:w="278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2"/>
                <w:szCs w:val="12"/>
                <w:color w:val="auto"/>
              </w:rPr>
              <w:t>Change in cumulative foreign currency translation</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02"/>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adjustment</w:t>
            </w:r>
          </w:p>
        </w:tc>
        <w:tc>
          <w:tcPr>
            <w:tcW w:w="8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0" w:type="dxa"/>
            <w:vAlign w:val="bottom"/>
          </w:tcPr>
          <w:p>
            <w:pPr>
              <w:spacing w:after="0"/>
              <w:rPr>
                <w:sz w:val="1"/>
                <w:szCs w:val="1"/>
                <w:color w:val="auto"/>
              </w:rPr>
            </w:pPr>
          </w:p>
        </w:tc>
      </w:tr>
      <w:tr>
        <w:trPr>
          <w:trHeight w:val="116"/>
        </w:trPr>
        <w:tc>
          <w:tcPr>
            <w:tcW w:w="278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2"/>
                <w:szCs w:val="12"/>
                <w:color w:val="auto"/>
              </w:rPr>
              <w:t>Net unrealized gain on available-for-sale securities,</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02"/>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net of taxes</w:t>
            </w:r>
          </w:p>
        </w:tc>
        <w:tc>
          <w:tcPr>
            <w:tcW w:w="8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78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2"/>
                <w:szCs w:val="12"/>
                <w:color w:val="auto"/>
              </w:rPr>
              <w:t>Issuance of restricted stock, net of forfeitures and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2"/>
        </w:trPr>
        <w:tc>
          <w:tcPr>
            <w:tcW w:w="2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cancellations</w:t>
            </w: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780" w:type="dxa"/>
            <w:vAlign w:val="bottom"/>
            <w:tcBorders>
              <w:bottom w:val="single" w:sz="8" w:color="CCEEFF"/>
            </w:tcBorders>
            <w:gridSpan w:val="2"/>
            <w:vMerge w:val="continue"/>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share settlement of restricted stock awards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Employee share purchase plan settlement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0" w:type="dxa"/>
            <w:vAlign w:val="bottom"/>
          </w:tcPr>
          <w:p>
            <w:pPr>
              <w:spacing w:after="0"/>
              <w:rPr>
                <w:sz w:val="1"/>
                <w:szCs w:val="1"/>
                <w:color w:val="auto"/>
              </w:rPr>
            </w:pPr>
          </w:p>
        </w:tc>
      </w:tr>
      <w:tr>
        <w:trPr>
          <w:trHeight w:val="180"/>
        </w:trPr>
        <w:tc>
          <w:tcPr>
            <w:tcW w:w="2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2024</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9,371.6</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5"/>
              </w:rPr>
              <w:t>(23.7)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5,667.9</w:t>
            </w:r>
          </w:p>
        </w:tc>
        <w:tc>
          <w:tcPr>
            <w:tcW w:w="0" w:type="dxa"/>
            <w:vAlign w:val="bottom"/>
          </w:tcPr>
          <w:p>
            <w:pPr>
              <w:spacing w:after="0"/>
              <w:rPr>
                <w:sz w:val="1"/>
                <w:szCs w:val="1"/>
                <w:color w:val="auto"/>
              </w:rPr>
            </w:pPr>
          </w:p>
        </w:tc>
      </w:tr>
      <w:tr>
        <w:trPr>
          <w:trHeight w:val="167"/>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(4,478.9)</w:t>
            </w:r>
          </w:p>
        </w:tc>
        <w:tc>
          <w:tcPr>
            <w:tcW w:w="0" w:type="dxa"/>
            <w:vAlign w:val="bottom"/>
          </w:tcPr>
          <w:p>
            <w:pPr>
              <w:spacing w:after="0"/>
              <w:rPr>
                <w:sz w:val="1"/>
                <w:szCs w:val="1"/>
                <w:color w:val="auto"/>
              </w:rPr>
            </w:pPr>
          </w:p>
        </w:tc>
      </w:tr>
      <w:tr>
        <w:trPr>
          <w:trHeight w:val="123"/>
        </w:trPr>
        <w:tc>
          <w:tcPr>
            <w:tcW w:w="278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Change in cumulative foreign currency translation</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02"/>
        </w:trPr>
        <w:tc>
          <w:tcPr>
            <w:tcW w:w="2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w:t>
            </w:r>
          </w:p>
        </w:tc>
        <w:tc>
          <w:tcPr>
            <w:tcW w:w="8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780" w:type="dxa"/>
            <w:vAlign w:val="bottom"/>
            <w:tcBorders>
              <w:bottom w:val="single" w:sz="8" w:color="CCEEFF"/>
            </w:tcBorders>
            <w:gridSpan w:val="2"/>
            <w:vMerge w:val="continue"/>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0" w:type="dxa"/>
            <w:vAlign w:val="bottom"/>
          </w:tcPr>
          <w:p>
            <w:pPr>
              <w:spacing w:after="0"/>
              <w:rPr>
                <w:sz w:val="1"/>
                <w:szCs w:val="1"/>
                <w:color w:val="auto"/>
              </w:rPr>
            </w:pPr>
          </w:p>
        </w:tc>
      </w:tr>
      <w:tr>
        <w:trPr>
          <w:trHeight w:val="123"/>
        </w:trPr>
        <w:tc>
          <w:tcPr>
            <w:tcW w:w="278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Issuance of restricted stock, net of forfeitures and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2"/>
        </w:trPr>
        <w:tc>
          <w:tcPr>
            <w:tcW w:w="2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cancellations</w:t>
            </w: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780" w:type="dxa"/>
            <w:vAlign w:val="bottom"/>
            <w:tcBorders>
              <w:bottom w:val="single" w:sz="8" w:color="CCEEFF"/>
            </w:tcBorders>
            <w:gridSpan w:val="2"/>
            <w:vMerge w:val="continue"/>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0" w:type="dxa"/>
            <w:vAlign w:val="bottom"/>
          </w:tcPr>
          <w:p>
            <w:pPr>
              <w:spacing w:after="0"/>
              <w:rPr>
                <w:sz w:val="1"/>
                <w:szCs w:val="1"/>
                <w:color w:val="auto"/>
              </w:rPr>
            </w:pPr>
          </w:p>
        </w:tc>
      </w:tr>
      <w:tr>
        <w:trPr>
          <w:trHeight w:val="18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share purchase plan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shares related to Zynga convertible notes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8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shares related to Gearbox acquisition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448.6</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changes, net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98"/>
        </w:trPr>
        <w:tc>
          <w:tcPr>
            <w:tcW w:w="2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10,312.0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w w:val="95"/>
              </w:rPr>
              <w:t>(23.7)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(1,020.6)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(7,058.8)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2,137.7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364" w:lineRule="exact"/>
        <w:rPr>
          <w:sz w:val="20"/>
          <w:szCs w:val="20"/>
          <w:color w:val="auto"/>
        </w:rPr>
      </w:pPr>
    </w:p>
    <w:p>
      <w:pPr>
        <w:ind w:left="340" w:hanging="337"/>
        <w:spacing w:after="0"/>
        <w:tabs>
          <w:tab w:leader="none" w:pos="3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AND SIGNIFICANT ACCOUNTING POLICIES</w:t>
      </w:r>
    </w:p>
    <w:p>
      <w:pPr>
        <w:spacing w:after="0" w:line="144" w:lineRule="exact"/>
        <w:rPr>
          <w:sz w:val="20"/>
          <w:szCs w:val="20"/>
          <w:color w:val="auto"/>
        </w:rPr>
      </w:pPr>
    </w:p>
    <w:p>
      <w:pPr>
        <w:jc w:val="both"/>
        <w:ind w:firstLine="236"/>
        <w:spacing w:after="0" w:line="261" w:lineRule="auto"/>
        <w:rPr>
          <w:sz w:val="20"/>
          <w:szCs w:val="20"/>
          <w:color w:val="auto"/>
        </w:rPr>
      </w:pPr>
      <w:r>
        <w:rPr>
          <w:rFonts w:ascii="Times New Roman" w:cs="Times New Roman" w:eastAsia="Times New Roman" w:hAnsi="Times New Roman"/>
          <w:sz w:val="17"/>
          <w:szCs w:val="17"/>
          <w:color w:val="auto"/>
        </w:rPr>
        <w:t>Take-Two Interactive Software, Inc. (the "Company," "we," "us," or similar pronouns) was incorporated in the state of Delaware in 1993. We are a leading developer, publisher, and marketer of interactive entertainment for consumers around the globe. We develop, operate, and publish products principally through Rockstar Games, 2K, and Zynga. In October 2024, we sold our Private Division label, including our rights to substantially all of the label's titles. Our products are designed for console gaming systems, mobile, including smartphones and tablets, and PC. We deliver our products through physical retail, digital download, online platforms, and cloud streaming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57" w:lineRule="exact"/>
        <w:rPr>
          <w:sz w:val="20"/>
          <w:szCs w:val="20"/>
          <w:color w:val="auto"/>
        </w:rPr>
      </w:pPr>
    </w:p>
    <w:p>
      <w:pPr>
        <w:jc w:val="both"/>
        <w:ind w:firstLine="241"/>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Company and its wholly-owned subsidiaries. All intercompany balances and transactions have been eliminated in consolidation.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Reclassifications</w:t>
      </w:r>
    </w:p>
    <w:p>
      <w:pPr>
        <w:spacing w:after="0" w:line="157" w:lineRule="exact"/>
        <w:rPr>
          <w:sz w:val="20"/>
          <w:szCs w:val="20"/>
          <w:color w:val="auto"/>
        </w:rPr>
      </w:pPr>
    </w:p>
    <w:p>
      <w:pPr>
        <w:jc w:val="both"/>
        <w:ind w:firstLine="233"/>
        <w:spacing w:after="0" w:line="287" w:lineRule="auto"/>
        <w:rPr>
          <w:sz w:val="20"/>
          <w:szCs w:val="20"/>
          <w:color w:val="auto"/>
        </w:rPr>
      </w:pPr>
      <w:r>
        <w:rPr>
          <w:rFonts w:ascii="Times New Roman" w:cs="Times New Roman" w:eastAsia="Times New Roman" w:hAnsi="Times New Roman"/>
          <w:sz w:val="17"/>
          <w:szCs w:val="17"/>
          <w:color w:val="auto"/>
        </w:rPr>
        <w:t>Certain immaterial amounts in the financial statements of the prior years have been reclassified to conform to the current year presentation for comparative purposes.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44" w:lineRule="exact"/>
        <w:rPr>
          <w:sz w:val="20"/>
          <w:szCs w:val="20"/>
          <w:color w:val="auto"/>
        </w:rPr>
      </w:pPr>
    </w:p>
    <w:p>
      <w:pPr>
        <w:jc w:val="both"/>
        <w:ind w:firstLine="284"/>
        <w:spacing w:after="0" w:line="257" w:lineRule="auto"/>
        <w:rPr>
          <w:sz w:val="20"/>
          <w:szCs w:val="20"/>
          <w:color w:val="auto"/>
        </w:rPr>
      </w:pPr>
      <w:r>
        <w:rPr>
          <w:rFonts w:ascii="Times New Roman" w:cs="Times New Roman" w:eastAsia="Times New Roman" w:hAnsi="Times New Roman"/>
          <w:sz w:val="17"/>
          <w:szCs w:val="17"/>
          <w:color w:val="auto"/>
        </w:rPr>
        <w:t xml:space="preserve">The preparation of financial statements in conformity with U.S. generally accepted accounting principles ("U.S. GAAP") requires management to make estimates and assumptions that affect the reported amounts of assets, liabilities, net revenue, and expense, as well as the disclosure of contingent assets and liabilities at the dates of the financial statements during the reporting periods. Our most significant estimates relate to revenue recognition (see </w:t>
      </w:r>
      <w:r>
        <w:rPr>
          <w:rFonts w:ascii="Times New Roman" w:cs="Times New Roman" w:eastAsia="Times New Roman" w:hAnsi="Times New Roman"/>
          <w:sz w:val="17"/>
          <w:szCs w:val="17"/>
          <w:u w:val="single" w:color="auto"/>
          <w:color w:val="0000FF"/>
        </w:rPr>
        <w:t>Note 2 - 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from Contracts with Customers</w:t>
      </w:r>
      <w:r>
        <w:rPr>
          <w:rFonts w:ascii="Times New Roman" w:cs="Times New Roman" w:eastAsia="Times New Roman" w:hAnsi="Times New Roman"/>
          <w:sz w:val="17"/>
          <w:szCs w:val="17"/>
          <w:color w:val="000000"/>
        </w:rPr>
        <w:t>); the recoverability and amortization of software development costs, licenses, and intangible assets; assets acquired and liabilities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assumed in business combinations; the realization of deferred income taxes; the valuation of stock-based compensation; and assumptions used in our goodwill and intangible impairment tests. These estimates generally involve complex issues and require us to make judgments, involve analysis of historical and the prediction of future trends, and are subject to change from period to period. Actual amounts could differ significantly from these estimates, which may affect economic conditions in a number of different ways and result in uncertainty and risk. We consider transactions or events that occur after the balance sheet date, but before the financial statements are issued, to provide additional evidence relative to certain estimates or to identify matters that require additional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 and Accounts Receivable</w:t>
      </w:r>
    </w:p>
    <w:p>
      <w:pPr>
        <w:spacing w:after="0" w:line="157" w:lineRule="exact"/>
        <w:rPr>
          <w:sz w:val="20"/>
          <w:szCs w:val="20"/>
          <w:color w:val="auto"/>
        </w:rPr>
      </w:pPr>
    </w:p>
    <w:p>
      <w:pPr>
        <w:jc w:val="both"/>
        <w:ind w:firstLine="206"/>
        <w:spacing w:after="0" w:line="287" w:lineRule="auto"/>
        <w:rPr>
          <w:sz w:val="20"/>
          <w:szCs w:val="20"/>
          <w:color w:val="auto"/>
        </w:rPr>
      </w:pPr>
      <w:r>
        <w:rPr>
          <w:rFonts w:ascii="Times New Roman" w:cs="Times New Roman" w:eastAsia="Times New Roman" w:hAnsi="Times New Roman"/>
          <w:sz w:val="17"/>
          <w:szCs w:val="17"/>
          <w:color w:val="auto"/>
        </w:rPr>
        <w:t>We maintain cash balances at several major financial institutions. While we attempt to limit credit exposure with any single institution, balances often exceed insurable amounts.</w:t>
      </w:r>
    </w:p>
    <w:p>
      <w:pPr>
        <w:spacing w:after="0" w:line="74" w:lineRule="exact"/>
        <w:rPr>
          <w:sz w:val="20"/>
          <w:szCs w:val="20"/>
          <w:color w:val="auto"/>
        </w:rPr>
      </w:pPr>
    </w:p>
    <w:p>
      <w:pPr>
        <w:jc w:val="both"/>
        <w:ind w:firstLine="192"/>
        <w:spacing w:after="0" w:line="264" w:lineRule="auto"/>
        <w:rPr>
          <w:sz w:val="20"/>
          <w:szCs w:val="20"/>
          <w:color w:val="auto"/>
        </w:rPr>
      </w:pPr>
      <w:r>
        <w:rPr>
          <w:rFonts w:ascii="Times New Roman" w:cs="Times New Roman" w:eastAsia="Times New Roman" w:hAnsi="Times New Roman"/>
          <w:sz w:val="17"/>
          <w:szCs w:val="17"/>
          <w:color w:val="auto"/>
        </w:rPr>
        <w:t>Accounts receivable are recorded at the original invoiced amount less an allowance for credit losses. In evaluating our ability to collect outstanding receivable balances and related allowance for credit losses, we consider many factors, including the age of the balance, the customer’s payment history and current creditworthiness, as well as current and forecasted economic conditions that may affect our customers’ ability to pay. Bad debts are written off after all collection efforts have been exhausted. We do not require collateral from our customers.</w:t>
      </w:r>
    </w:p>
    <w:p>
      <w:pPr>
        <w:spacing w:after="0" w:line="107" w:lineRule="exact"/>
        <w:rPr>
          <w:sz w:val="20"/>
          <w:szCs w:val="20"/>
          <w:color w:val="auto"/>
        </w:rPr>
      </w:pPr>
    </w:p>
    <w:p>
      <w:pPr>
        <w:jc w:val="both"/>
        <w:ind w:firstLine="191"/>
        <w:spacing w:after="0" w:line="257" w:lineRule="auto"/>
        <w:rPr>
          <w:sz w:val="20"/>
          <w:szCs w:val="20"/>
          <w:color w:val="auto"/>
        </w:rPr>
      </w:pPr>
      <w:r>
        <w:rPr>
          <w:rFonts w:ascii="Times New Roman" w:cs="Times New Roman" w:eastAsia="Times New Roman" w:hAnsi="Times New Roman"/>
          <w:sz w:val="17"/>
          <w:szCs w:val="17"/>
          <w:color w:val="auto"/>
        </w:rPr>
        <w:t>If the financial condition and operations of our customers deteriorate, our risk of collection could increase substantially. A majority of our trade receivables are derived from sales to major retailers, including digital storefronts and platform partners, and distributors. Our five largest customers accounted for 81.0%, 79.8% and 79.6% of net revenue during the fiscal years ended March 31, 2025, 2024 and 2023, respectively. One customer accounted for 24.4%, 21.1% and 16.2% of net revenue during the fiscal years ended March 31, 2025, 2024, and 2023, respectively. A second customer accounted for 22.8%, 23.2%, and 23.5% of net revenue during the fiscal years ended March 31, 2025, 2024, and 2023, respectively. A third customer accounted for 17.4%, 18.6%, and 20.8% of net revenue during the fiscal years ended March 31, 2025, 2024, and 2023, respectively. A fourth customer accounted for 10.1%, 12.3%, and 13.6% of net revenue during the fiscal years ended March 31, 2025, 2024, and 2023, respectively. As of March 31, 2025 and 2024, five customers accounted for 72.1% and 69.9% of our gross accounts receivable, respectively. Customers that individually accounted for more than 10% of our gross accounts receivable balance comprised 61.0% and 57.7% of such balances at March 31, 2025 and 2024, respectively. We had three customers who accounted for 24.0%, 21.3%, and 15.7% of our gross accounts receivable as of March 31, 2025 and three customers who accounted for 21.8%, 18.1%, and 16.9% of our gross accounts receivable as of March 31, 2024. We did not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2" w:name="page73"/>
    <w:bookmarkEnd w:id="72"/>
    <w:p>
      <w:pPr>
        <w:jc w:val="both"/>
        <w:spacing w:after="0" w:line="270" w:lineRule="auto"/>
        <w:rPr>
          <w:sz w:val="20"/>
          <w:szCs w:val="20"/>
          <w:color w:val="auto"/>
        </w:rPr>
      </w:pPr>
      <w:r>
        <w:rPr>
          <w:rFonts w:ascii="Times New Roman" w:cs="Times New Roman" w:eastAsia="Times New Roman" w:hAnsi="Times New Roman"/>
          <w:sz w:val="17"/>
          <w:szCs w:val="17"/>
          <w:color w:val="auto"/>
        </w:rPr>
        <w:t>have any additional customers that exceeded 10% of our gross accounts receivable as of March 31, 2025 and 2024. Based upon 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firstLine="264"/>
        <w:spacing w:after="0" w:line="270" w:lineRule="auto"/>
        <w:rPr>
          <w:sz w:val="20"/>
          <w:szCs w:val="20"/>
          <w:color w:val="auto"/>
        </w:rPr>
      </w:pPr>
      <w:r>
        <w:rPr>
          <w:rFonts w:ascii="Times New Roman" w:cs="Times New Roman" w:eastAsia="Times New Roman" w:hAnsi="Times New Roman"/>
          <w:sz w:val="17"/>
          <w:szCs w:val="17"/>
          <w:color w:val="auto"/>
        </w:rPr>
        <w:t>We consider all highly liquid instruments purchased with original maturities of three months or less to be cash equivalents. Our restricted cash and cash equivalents balances are primarily related to dedicated accounts limited to the payment of certain internal royalty obligations. Balances that are restricted from use for more than one year are classified as non-current.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 Investments</w:t>
      </w:r>
    </w:p>
    <w:p>
      <w:pPr>
        <w:spacing w:after="0" w:line="144" w:lineRule="exact"/>
        <w:rPr>
          <w:sz w:val="20"/>
          <w:szCs w:val="20"/>
          <w:color w:val="auto"/>
        </w:rPr>
      </w:pPr>
    </w:p>
    <w:p>
      <w:pPr>
        <w:jc w:val="both"/>
        <w:ind w:firstLine="203"/>
        <w:spacing w:after="0" w:line="270" w:lineRule="auto"/>
        <w:rPr>
          <w:sz w:val="20"/>
          <w:szCs w:val="20"/>
          <w:color w:val="auto"/>
        </w:rPr>
      </w:pPr>
      <w:r>
        <w:rPr>
          <w:rFonts w:ascii="Times New Roman" w:cs="Times New Roman" w:eastAsia="Times New Roman" w:hAnsi="Times New Roman"/>
          <w:sz w:val="17"/>
          <w:szCs w:val="17"/>
          <w:color w:val="auto"/>
        </w:rPr>
        <w:t>Investments with original maturities greater than 90 days and remaining maturities of less than one year are normally classified within Short-term investments on our Consolidated Balance Sheets. In addition, investments with maturities beyond one year at the time of purchase that are highly liquid in nature and represent the investment of cash that is available for current operations are classified as short-term investments.</w:t>
      </w:r>
    </w:p>
    <w:p>
      <w:pPr>
        <w:spacing w:after="0" w:line="101" w:lineRule="exact"/>
        <w:rPr>
          <w:sz w:val="20"/>
          <w:szCs w:val="20"/>
          <w:color w:val="auto"/>
        </w:rPr>
      </w:pPr>
    </w:p>
    <w:p>
      <w:pPr>
        <w:jc w:val="both"/>
        <w:ind w:firstLine="187"/>
        <w:spacing w:after="0" w:line="260" w:lineRule="auto"/>
        <w:rPr>
          <w:sz w:val="20"/>
          <w:szCs w:val="20"/>
          <w:color w:val="auto"/>
        </w:rPr>
      </w:pPr>
      <w:r>
        <w:rPr>
          <w:rFonts w:ascii="Times New Roman" w:cs="Times New Roman" w:eastAsia="Times New Roman" w:hAnsi="Times New Roman"/>
          <w:sz w:val="17"/>
          <w:szCs w:val="17"/>
          <w:color w:val="auto"/>
        </w:rPr>
        <w:t>Short-term investments are evaluated for impairment quarterly. We consider various factors in determining whether we should recognize an impairment charge,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If we conclude that an investment is impaired or a portion of the unrealized loss is a result of a credit loss, we recognize the charge at that time in our Consolidated Statements of Operations. Determining whether the decline in fair value is due to a credit loss requires management judgment based on the specific facts and circumstances of each security. The ultimate value realized on these securities is subject to market price volatility until they are sold.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Software Development Costs and Licenses</w:t>
      </w:r>
    </w:p>
    <w:p>
      <w:pPr>
        <w:spacing w:after="0" w:line="144" w:lineRule="exact"/>
        <w:rPr>
          <w:sz w:val="20"/>
          <w:szCs w:val="20"/>
          <w:color w:val="auto"/>
        </w:rPr>
      </w:pPr>
    </w:p>
    <w:p>
      <w:pPr>
        <w:jc w:val="both"/>
        <w:ind w:firstLine="181"/>
        <w:spacing w:after="0" w:line="287" w:lineRule="auto"/>
        <w:rPr>
          <w:sz w:val="20"/>
          <w:szCs w:val="20"/>
          <w:color w:val="auto"/>
        </w:rPr>
      </w:pPr>
      <w:r>
        <w:rPr>
          <w:rFonts w:ascii="Times New Roman" w:cs="Times New Roman" w:eastAsia="Times New Roman" w:hAnsi="Times New Roman"/>
          <w:sz w:val="17"/>
          <w:szCs w:val="17"/>
          <w:color w:val="auto"/>
        </w:rPr>
        <w:t>Capitalized software development costs include direct costs incurred for internally developed titles and payments made to third-party software developers under development agreements.</w:t>
      </w:r>
    </w:p>
    <w:p>
      <w:pPr>
        <w:spacing w:after="0" w:line="87" w:lineRule="exact"/>
        <w:rPr>
          <w:sz w:val="20"/>
          <w:szCs w:val="20"/>
          <w:color w:val="auto"/>
        </w:rPr>
      </w:pPr>
    </w:p>
    <w:p>
      <w:pPr>
        <w:jc w:val="both"/>
        <w:ind w:firstLine="269"/>
        <w:spacing w:after="0" w:line="258" w:lineRule="auto"/>
        <w:rPr>
          <w:sz w:val="20"/>
          <w:szCs w:val="20"/>
          <w:color w:val="auto"/>
        </w:rPr>
      </w:pPr>
      <w:r>
        <w:rPr>
          <w:rFonts w:ascii="Times New Roman" w:cs="Times New Roman" w:eastAsia="Times New Roman" w:hAnsi="Times New Roman"/>
          <w:sz w:val="17"/>
          <w:szCs w:val="17"/>
          <w:color w:val="auto"/>
        </w:rPr>
        <w:t>We capitalize internal software development costs (including specifically identifiable payroll expense, employee stock-based compensation, and incentive compensation costs related to the completion and release of titles, as well as third-party production and other content costs), subsequent to establishing technological feasibility of a software title. Technological feasibility of a product includes the completion of both technical design documentation and game design documentation. Significant management judgments are made in the assessment of when technological feasibility is established. For products where proven technology exists, this may occur early in the development cycle. Technological feasibility is evaluated on a product-by-product basis. Prior to establishing technological feasibility of a product, we record any costs incurred by third-party developers as research and development expenses. If we subsequently determine that a product that was technologically feasible ceases to meet the requirements for that determination, costs capitalized to date are expensed to Research and development in the period where the product is deemed no longer technologically feasible.</w:t>
      </w:r>
    </w:p>
    <w:p>
      <w:pPr>
        <w:spacing w:after="0" w:line="111"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7"/>
          <w:szCs w:val="17"/>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 In addition to guaranteed minimum payments, these licenses frequently contain provisions that could require us to pay royalties to the license holder based on pre-agreed unit sales thresholds.</w:t>
      </w:r>
    </w:p>
    <w:p>
      <w:pPr>
        <w:spacing w:after="0" w:line="97" w:lineRule="exact"/>
        <w:rPr>
          <w:sz w:val="20"/>
          <w:szCs w:val="20"/>
          <w:color w:val="auto"/>
        </w:rPr>
      </w:pPr>
    </w:p>
    <w:p>
      <w:pPr>
        <w:jc w:val="both"/>
        <w:ind w:firstLine="200"/>
        <w:spacing w:after="0" w:line="260" w:lineRule="auto"/>
        <w:rPr>
          <w:sz w:val="20"/>
          <w:szCs w:val="20"/>
          <w:color w:val="auto"/>
        </w:rPr>
      </w:pPr>
      <w:r>
        <w:rPr>
          <w:rFonts w:ascii="Times New Roman" w:cs="Times New Roman" w:eastAsia="Times New Roman" w:hAnsi="Times New Roman"/>
          <w:sz w:val="17"/>
          <w:szCs w:val="17"/>
          <w:color w:val="auto"/>
        </w:rPr>
        <w:t>Amortization of capitalized software development costs and licenses commences when a product is available for general release and is recorded on a title-by-title basis in cost of revenue.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For capitalized licenses, amortization is calculated as a ratio of (1) current year revenue to the total revenue expected to be recorded over the remaining estimated life of the title or (2) the contractual royalty rate based on actual net product sales as defined in the licensing agreement, whichever is greater. Amortization periods for our software products generally range from 12 to 36 months.</w:t>
      </w:r>
    </w:p>
    <w:p>
      <w:pPr>
        <w:spacing w:after="0" w:line="109" w:lineRule="exact"/>
        <w:rPr>
          <w:sz w:val="20"/>
          <w:szCs w:val="20"/>
          <w:color w:val="auto"/>
        </w:rPr>
      </w:pPr>
    </w:p>
    <w:p>
      <w:pPr>
        <w:jc w:val="both"/>
        <w:ind w:firstLine="230"/>
        <w:spacing w:after="0" w:line="287" w:lineRule="auto"/>
        <w:rPr>
          <w:sz w:val="20"/>
          <w:szCs w:val="20"/>
          <w:color w:val="auto"/>
        </w:rPr>
      </w:pPr>
      <w:r>
        <w:rPr>
          <w:rFonts w:ascii="Times New Roman" w:cs="Times New Roman" w:eastAsia="Times New Roman" w:hAnsi="Times New Roman"/>
          <w:sz w:val="17"/>
          <w:szCs w:val="17"/>
          <w:color w:val="auto"/>
        </w:rPr>
        <w:t>Certain government grants earned on qualified production spend generally either reduce the cost basis of our capitalized software development costs, which therefore results in reduced expense over the amortization period, or reduce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3" w:name="page74"/>
    <w:bookmarkEnd w:id="73"/>
    <w:p>
      <w:pPr>
        <w:jc w:val="both"/>
        <w:spacing w:after="0" w:line="287" w:lineRule="auto"/>
        <w:rPr>
          <w:sz w:val="20"/>
          <w:szCs w:val="20"/>
          <w:color w:val="auto"/>
        </w:rPr>
      </w:pPr>
      <w:r>
        <w:rPr>
          <w:rFonts w:ascii="Times New Roman" w:cs="Times New Roman" w:eastAsia="Times New Roman" w:hAnsi="Times New Roman"/>
          <w:sz w:val="17"/>
          <w:szCs w:val="17"/>
          <w:color w:val="auto"/>
        </w:rPr>
        <w:t>period development expense recognized for titles that do not meet the capitalization criteria. Such incentives are accounted for by analogizing under ASC 105-10-05-2 to the grant accounting model under IAS 20.</w:t>
      </w:r>
    </w:p>
    <w:p>
      <w:pPr>
        <w:spacing w:after="0" w:line="7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evaluate the future recoverability of capitalized software development costs and licenses on a quarterly basis. Recoverability is primarily assessed based on the title's actual performance. For products that are scheduled to be released in the future, recoverability is evaluated based on the expected performance of the specific products to which the cost or license relates. We use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 of the title is unlikely to be recovered by product sales, an impairment of software development and license costs capitalized is charged to cost of revenue in the period in which such determination is made.</w:t>
      </w:r>
    </w:p>
    <w:p>
      <w:pPr>
        <w:spacing w:after="0" w:line="109" w:lineRule="exact"/>
        <w:rPr>
          <w:sz w:val="20"/>
          <w:szCs w:val="20"/>
          <w:color w:val="auto"/>
        </w:rPr>
      </w:pPr>
    </w:p>
    <w:p>
      <w:pPr>
        <w:jc w:val="both"/>
        <w:ind w:firstLine="222"/>
        <w:spacing w:after="0" w:line="270" w:lineRule="auto"/>
        <w:rPr>
          <w:sz w:val="20"/>
          <w:szCs w:val="20"/>
          <w:color w:val="auto"/>
        </w:rPr>
      </w:pPr>
      <w:r>
        <w:rPr>
          <w:rFonts w:ascii="Times New Roman" w:cs="Times New Roman" w:eastAsia="Times New Roman" w:hAnsi="Times New Roman"/>
          <w:sz w:val="17"/>
          <w:szCs w:val="17"/>
          <w:color w:val="auto"/>
        </w:rPr>
        <w:t>We have profit and unit sales based internal royalty programs that allow selected employees to participate in the success of software titles that they assist in developing. Royalties earned under these programs are recorded as a component of Cost of revenue in the period earned. Amounts earned and not yet paid are reflected within the software development royalties component of Accrued expenses and other current liabilities on our Consolidated Balance Sheets.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Fixed Assets, net</w:t>
      </w:r>
    </w:p>
    <w:p>
      <w:pPr>
        <w:spacing w:after="0" w:line="144" w:lineRule="exact"/>
        <w:rPr>
          <w:sz w:val="20"/>
          <w:szCs w:val="20"/>
          <w:color w:val="auto"/>
        </w:rPr>
      </w:pPr>
    </w:p>
    <w:p>
      <w:pPr>
        <w:jc w:val="both"/>
        <w:ind w:firstLine="211"/>
        <w:spacing w:after="0" w:line="260" w:lineRule="auto"/>
        <w:rPr>
          <w:sz w:val="20"/>
          <w:szCs w:val="20"/>
          <w:color w:val="auto"/>
        </w:rPr>
      </w:pPr>
      <w:r>
        <w:rPr>
          <w:rFonts w:ascii="Times New Roman" w:cs="Times New Roman" w:eastAsia="Times New Roman" w:hAnsi="Times New Roman"/>
          <w:sz w:val="17"/>
          <w:szCs w:val="17"/>
          <w:color w:val="auto"/>
        </w:rPr>
        <w:t>Office equipment, furniture and fixtures are depreciated using the straight-line method over their estimated useful life of five years. Computer equipment and software are generally depreciated using the straight-line method over three to five years. Leasehold improvements are amortized over the lesser of the term of the related lease or the useful life of the underlying asset, typically seven years. Buildings are depreciated over the remaining life of the buildings, which is typically approximately 30 years. The cost of additions and improvements are capitalized, and repairs and maintenance costs are charged to operations, in the periods incurred. When depreciable assets are retired or sold, the cost and related allowances for depreciation are removed from the accounts and the gain or loss, if any, is recognized. The carrying amounts of these assets are recorded at historical cost.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determine if an arrangement is a lease at contract inception. If there is an identified asset in the contract (either explicitly or implicitly) and we have control over its use, the contract is (or contains) a lease.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 Included in the lease liability are future lease payments that are fixed, in-substance fixed, or payments based on an index or rate known at the commencement date of the lease. Variable lease payments are recognized as lease expenses as incurred. The operating lease right-of-use (“ROU”) asset also includes any lease payments made prior to commencement, initial direct costs incurred, and lease incentives received.</w:t>
      </w:r>
    </w:p>
    <w:p>
      <w:pPr>
        <w:spacing w:after="0" w:line="9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most of our leases do not provide an implicit rate, we generally use our incremental borrowing rate in determining the present value of future lease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Lease modifications result in remeasurement of the lease liability. Leases with an initial term of twelve months or less are not recorded on the balance sheet, and we recognize lease expense for these leases on a straight-line basis over the lease term. We do not separate non-lease components from the related lease components.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157" w:lineRule="exact"/>
        <w:rPr>
          <w:sz w:val="20"/>
          <w:szCs w:val="20"/>
          <w:color w:val="auto"/>
        </w:rPr>
      </w:pPr>
    </w:p>
    <w:p>
      <w:pPr>
        <w:jc w:val="both"/>
        <w:ind w:firstLine="209"/>
        <w:spacing w:after="0" w:line="270" w:lineRule="auto"/>
        <w:rPr>
          <w:sz w:val="20"/>
          <w:szCs w:val="20"/>
          <w:color w:val="auto"/>
        </w:rPr>
      </w:pPr>
      <w:r>
        <w:rPr>
          <w:rFonts w:ascii="Times New Roman" w:cs="Times New Roman" w:eastAsia="Times New Roman" w:hAnsi="Times New Roman"/>
          <w:sz w:val="17"/>
          <w:szCs w:val="17"/>
          <w:color w:val="auto"/>
        </w:rPr>
        <w:t>Goodwill is the excess of purchase price paid over identified intangible and tangible net assets of acquired companies. Intangible assets consist of intellectual property, developed game technology, analytics technology, trade names, and in-process research and development. Certain intangible assets acquired in a business combination are recognized as assets apart from goodwill.</w:t>
      </w:r>
    </w:p>
    <w:p>
      <w:pPr>
        <w:spacing w:after="0" w:line="101" w:lineRule="exact"/>
        <w:rPr>
          <w:sz w:val="20"/>
          <w:szCs w:val="20"/>
          <w:color w:val="auto"/>
        </w:rPr>
      </w:pPr>
    </w:p>
    <w:p>
      <w:pPr>
        <w:jc w:val="both"/>
        <w:ind w:firstLine="175"/>
        <w:spacing w:after="0" w:line="287" w:lineRule="auto"/>
        <w:rPr>
          <w:sz w:val="20"/>
          <w:szCs w:val="20"/>
          <w:color w:val="auto"/>
        </w:rPr>
      </w:pPr>
      <w:r>
        <w:rPr>
          <w:rFonts w:ascii="Times New Roman" w:cs="Times New Roman" w:eastAsia="Times New Roman" w:hAnsi="Times New Roman"/>
          <w:sz w:val="17"/>
          <w:szCs w:val="17"/>
          <w:color w:val="auto"/>
        </w:rPr>
        <w:t>We use either the income, cost, or market approach to aid in our conclusions of such fair values and asset lives. The income approach presumes that the value of an asset can be estimated by the net economic benefit to be received over the life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4" w:name="page75"/>
    <w:bookmarkEnd w:id="74"/>
    <w:p>
      <w:pPr>
        <w:jc w:val="both"/>
        <w:spacing w:after="0" w:line="264" w:lineRule="auto"/>
        <w:rPr>
          <w:sz w:val="20"/>
          <w:szCs w:val="20"/>
          <w:color w:val="auto"/>
        </w:rPr>
      </w:pPr>
      <w:r>
        <w:rPr>
          <w:rFonts w:ascii="Times New Roman" w:cs="Times New Roman" w:eastAsia="Times New Roman" w:hAnsi="Times New Roman"/>
          <w:sz w:val="17"/>
          <w:szCs w:val="17"/>
          <w:color w:val="auto"/>
        </w:rPr>
        <w:t>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or combination of approaches, ultimately selected is based on the characteristics of the asset and the availability of information.</w:t>
      </w:r>
    </w:p>
    <w:p>
      <w:pPr>
        <w:spacing w:after="0" w:line="94" w:lineRule="exact"/>
        <w:rPr>
          <w:sz w:val="20"/>
          <w:szCs w:val="20"/>
          <w:color w:val="auto"/>
        </w:rPr>
      </w:pPr>
    </w:p>
    <w:p>
      <w:pPr>
        <w:jc w:val="both"/>
        <w:ind w:firstLine="249"/>
        <w:spacing w:after="0" w:line="261" w:lineRule="auto"/>
        <w:rPr>
          <w:sz w:val="20"/>
          <w:szCs w:val="20"/>
          <w:color w:val="auto"/>
        </w:rPr>
      </w:pPr>
      <w:r>
        <w:rPr>
          <w:rFonts w:ascii="Times New Roman" w:cs="Times New Roman" w:eastAsia="Times New Roman" w:hAnsi="Times New Roman"/>
          <w:sz w:val="17"/>
          <w:szCs w:val="17"/>
          <w:color w:val="auto"/>
        </w:rPr>
        <w:t>We test our goodwill for impairment annually, or more frequently if events and circumstances indicate the fair value of a reporting unit may be below its carrying amount. A reporting unit is defined as an operating segment or one level below an operating segment. We have determined that we operate in two reporting units, which are components of our operating segment. In the evaluation of goodwill for impairment, we have the option to first perform a qualitative assessment to determine if the fair value of a reporting unit is more likely than not (i.e., a likelihood of more than 50%) less than the carrying value before performing a quantitative impairment test.</w:t>
      </w:r>
    </w:p>
    <w:p>
      <w:pPr>
        <w:spacing w:after="0" w:line="110" w:lineRule="exact"/>
        <w:rPr>
          <w:sz w:val="20"/>
          <w:szCs w:val="20"/>
          <w:color w:val="auto"/>
        </w:rPr>
      </w:pPr>
    </w:p>
    <w:p>
      <w:pPr>
        <w:jc w:val="both"/>
        <w:ind w:firstLine="183"/>
        <w:spacing w:after="0" w:line="264" w:lineRule="auto"/>
        <w:rPr>
          <w:sz w:val="20"/>
          <w:szCs w:val="20"/>
          <w:color w:val="auto"/>
        </w:rPr>
      </w:pPr>
      <w:r>
        <w:rPr>
          <w:rFonts w:ascii="Times New Roman" w:cs="Times New Roman" w:eastAsia="Times New Roman" w:hAnsi="Times New Roman"/>
          <w:sz w:val="17"/>
          <w:szCs w:val="17"/>
          <w:color w:val="auto"/>
        </w:rPr>
        <w:t>When a qualitative assessment is not used, or if the qualitative assessment is not conclusive, a quantitative impairment analysis for goodwill is performed at the reporting unit level. The quantitative goodwill impairment test is used to identify potential impairment by comparing the fair value of a reporting unit with its carrying amount, including goodwill. If the carrying value exceeds the fair value, an impairment charge is recognized equal to the difference between the carrying value of the reporting unit and its fair value, considering the related income tax effect of any goodwill deductible for tax purposes.</w:t>
      </w:r>
    </w:p>
    <w:p>
      <w:pPr>
        <w:spacing w:after="0" w:line="107" w:lineRule="exact"/>
        <w:rPr>
          <w:sz w:val="20"/>
          <w:szCs w:val="20"/>
          <w:color w:val="auto"/>
        </w:rPr>
      </w:pPr>
    </w:p>
    <w:p>
      <w:pPr>
        <w:jc w:val="both"/>
        <w:ind w:firstLine="248"/>
        <w:spacing w:after="0" w:line="260" w:lineRule="auto"/>
        <w:rPr>
          <w:sz w:val="20"/>
          <w:szCs w:val="20"/>
          <w:color w:val="auto"/>
        </w:rPr>
      </w:pPr>
      <w:r>
        <w:rPr>
          <w:rFonts w:ascii="Times New Roman" w:cs="Times New Roman" w:eastAsia="Times New Roman" w:hAnsi="Times New Roman"/>
          <w:sz w:val="17"/>
          <w:szCs w:val="17"/>
          <w:color w:val="auto"/>
        </w:rPr>
        <w:t>In performing the quantitative assessment, we measure the fair value of the reporting unit using a combination of the income and market approaches. The assessment requires us to make judgments and involves the use of significant estimates and assumptions. These estimates and assumptions include long-term growth rates and EBITDA margins used to calculate projected future cash flows, risk-adjusted discount rates based on our weighted average cost of capital, future economic and market conditions and the determination of appropriate, comparable market data. Our estimates for market growth are based on historical data, various internal estimates, and observable external sources when available. Those estimates are based on assumptions that are consistent with the plans and estimates we use to manage the underlying business.</w:t>
      </w:r>
    </w:p>
    <w:p>
      <w:pPr>
        <w:spacing w:after="0" w:line="96" w:lineRule="exact"/>
        <w:rPr>
          <w:sz w:val="20"/>
          <w:szCs w:val="20"/>
          <w:color w:val="auto"/>
        </w:rPr>
      </w:pPr>
    </w:p>
    <w:p>
      <w:pPr>
        <w:jc w:val="both"/>
        <w:ind w:firstLine="232"/>
        <w:spacing w:after="0" w:line="258" w:lineRule="auto"/>
        <w:rPr>
          <w:sz w:val="20"/>
          <w:szCs w:val="20"/>
          <w:color w:val="auto"/>
        </w:rPr>
      </w:pPr>
      <w:r>
        <w:rPr>
          <w:rFonts w:ascii="Times New Roman" w:cs="Times New Roman" w:eastAsia="Times New Roman" w:hAnsi="Times New Roman"/>
          <w:sz w:val="17"/>
          <w:szCs w:val="17"/>
          <w:color w:val="auto"/>
        </w:rPr>
        <w:t xml:space="preserve">During the fiscal years ended March 31, 2025 and 2024, we recognized goodwill impairment charges of $3,545.2 and $2,342.1, respectively, representing a partial impairment related to one of our reporting units. The impairments were primarily due to a reduction in the forecasted performance of the reporting unit due to industry conditions and changes in our strategies for games within the reporting unit in response to those conditions. There were no goodwill impairments recorded during the fiscal year ended March 31, 2023. As of March 31, 2025, the goodwill balance of that reporting unit is $566.6. Unanticipated changes in business performance or the regulatory environment, market declines, and other events impacting the fair value of the reporting units with assigned goodwill, or increases in the level of equity required to support these businesses, could cause additional goodwill impairment charges in future periods. Refer to </w:t>
      </w:r>
      <w:r>
        <w:rPr>
          <w:rFonts w:ascii="Times New Roman" w:cs="Times New Roman" w:eastAsia="Times New Roman" w:hAnsi="Times New Roman"/>
          <w:sz w:val="17"/>
          <w:szCs w:val="17"/>
          <w:u w:val="single" w:color="auto"/>
          <w:color w:val="0000FF"/>
        </w:rPr>
        <w:t>Note 9 -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Goodwill and Intangible Assets, Net</w:t>
      </w:r>
      <w:r>
        <w:rPr>
          <w:rFonts w:ascii="Times New Roman" w:cs="Times New Roman" w:eastAsia="Times New Roman" w:hAnsi="Times New Roman"/>
          <w:sz w:val="17"/>
          <w:szCs w:val="17"/>
          <w:color w:val="000000"/>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157"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7"/>
          <w:szCs w:val="17"/>
          <w:color w:val="auto"/>
        </w:rPr>
        <w:t xml:space="preserve">We review all long-lived assets, including intangible assets with finite lives, for impairment whenever events or changes in circumstances indicate that the related carrying amount of an asset or asset group may not be recoverable. We compare the carrying amount of the asset to the estimated undiscounted future cash flows expected to result from the use of the asset. If the carrying amount of the asset exceeds estimated expected undiscounted future cash flows, we record an impairment charge for the difference between the carrying amount of the asset and its fair value. The estimated fair value is generally measured by discounting expected future cash flows using an appropriate discount rate. Refer to </w:t>
      </w:r>
      <w:r>
        <w:rPr>
          <w:rFonts w:ascii="Times New Roman" w:cs="Times New Roman" w:eastAsia="Times New Roman" w:hAnsi="Times New Roman"/>
          <w:sz w:val="17"/>
          <w:szCs w:val="17"/>
          <w:u w:val="single" w:color="auto"/>
          <w:color w:val="0000FF"/>
        </w:rPr>
        <w:t>Note 9 - Goodwill and Intangible Assets, Net</w:t>
      </w:r>
      <w:r>
        <w:rPr>
          <w:rFonts w:ascii="Times New Roman" w:cs="Times New Roman" w:eastAsia="Times New Roman" w:hAnsi="Times New Roman"/>
          <w:sz w:val="17"/>
          <w:szCs w:val="17"/>
          <w:color w:val="auto"/>
        </w:rPr>
        <w:t xml:space="preserve"> for impairments that occurred in the fiscal years ended March 31, 2025 and 2024. As of March 31, 2025, no indicators of impairment existed.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 and Hedging</w:t>
      </w:r>
    </w:p>
    <w:p>
      <w:pPr>
        <w:spacing w:after="0" w:line="157" w:lineRule="exact"/>
        <w:rPr>
          <w:sz w:val="20"/>
          <w:szCs w:val="20"/>
          <w:color w:val="auto"/>
        </w:rPr>
      </w:pPr>
    </w:p>
    <w:p>
      <w:pPr>
        <w:jc w:val="both"/>
        <w:ind w:firstLine="244"/>
        <w:spacing w:after="0" w:line="257" w:lineRule="auto"/>
        <w:rPr>
          <w:sz w:val="20"/>
          <w:szCs w:val="20"/>
          <w:color w:val="auto"/>
        </w:rPr>
      </w:pPr>
      <w:r>
        <w:rPr>
          <w:rFonts w:ascii="Times New Roman" w:cs="Times New Roman" w:eastAsia="Times New Roman" w:hAnsi="Times New Roman"/>
          <w:sz w:val="17"/>
          <w:szCs w:val="17"/>
          <w:color w:val="auto"/>
        </w:rPr>
        <w:t>We transact business in various foreign currencies and have significant sales and purchase transactions denominated in foreign currencies, subjecting us to foreign currency exchange rate risk. From time to time, we carry out transactions involving foreign currency exchange derivative financial instruments. The transactions are designed to hedge our exposure in currency exchange rate movements. We recognize derivative instruments as either assets or liabilities on our Consolidated Balance Sheets and we measure those instruments at fair value. The changes in fair value of derivatives that are not designated as hedges are recognized currently in earnings as Interest and other, net in our Consolidated Statements of Operations. If a derivative meets the definition of a cash flow hedge and is so designated, the effective portion of changes in the fair value of the derivative are recognized, as a component of Other comprehensive income (loss) while the ineffective portion of the changes in fair value is recorded currently in earnings as Interest and other, net in our Consolidated Statements of Operations. Amounts included in Accumulated other comprehensive loss for cash flow hedges are reclassified into earnings in the same period that the hedged item is recognized in Cost of revenue, Research and development expenses, or Interest and other, net, as appropriate.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firstLine="185"/>
        <w:spacing w:after="0" w:line="264" w:lineRule="auto"/>
        <w:rPr>
          <w:sz w:val="20"/>
          <w:szCs w:val="20"/>
          <w:color w:val="auto"/>
        </w:rPr>
      </w:pPr>
      <w:r>
        <w:rPr>
          <w:rFonts w:ascii="Times New Roman" w:cs="Times New Roman" w:eastAsia="Times New Roman" w:hAnsi="Times New Roman"/>
          <w:sz w:val="17"/>
          <w:szCs w:val="17"/>
          <w:color w:val="auto"/>
        </w:rPr>
        <w:t>We record a tax provision for the anticipated tax consequences of the reported results of operations. Our provision for income taxes is computed using the asset and liability method, under which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spacing w:after="0" w:line="107"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7"/>
          <w:szCs w:val="17"/>
          <w:color w:val="auto"/>
        </w:rPr>
        <w:t>Valuation allowances are established when we determine that it is more likely than not that such deferred tax assets will not be realized. We do not record income tax expense related to foreign withholding taxes or U.S. income taxes that may become payable upon the repatriation of undistributed earnings of foreign subsidiaries, to the extent such earnings are expected to be reinvested indefinitely outside of the U.S.</w:t>
      </w:r>
    </w:p>
    <w:p>
      <w:pPr>
        <w:spacing w:after="0" w:line="101" w:lineRule="exact"/>
        <w:rPr>
          <w:sz w:val="20"/>
          <w:szCs w:val="20"/>
          <w:color w:val="auto"/>
        </w:rPr>
      </w:pPr>
    </w:p>
    <w:p>
      <w:pPr>
        <w:jc w:val="both"/>
        <w:ind w:firstLine="185"/>
        <w:spacing w:after="0" w:line="264" w:lineRule="auto"/>
        <w:rPr>
          <w:sz w:val="20"/>
          <w:szCs w:val="20"/>
          <w:color w:val="auto"/>
        </w:rPr>
      </w:pPr>
      <w:r>
        <w:rPr>
          <w:rFonts w:ascii="Times New Roman" w:cs="Times New Roman" w:eastAsia="Times New Roman" w:hAnsi="Times New Roman"/>
          <w:sz w:val="17"/>
          <w:szCs w:val="17"/>
          <w:color w:val="auto"/>
        </w:rPr>
        <w:t>We use estimates and assumptions to compute the provision for income taxes including allocations of certain transactions to different tax jurisdictions, amounts of permanent and temporary differences, the likelihood of deferred tax assets being recovered and the outcome of contingent tax risks. These estimates and assumptions are revised as new events occur, more experience is acquired and additional information is obtained. The effect of these revisions is recorded in income tax expense or benefit in the period in which they become known.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57" w:lineRule="exact"/>
        <w:rPr>
          <w:sz w:val="20"/>
          <w:szCs w:val="20"/>
          <w:color w:val="auto"/>
        </w:rPr>
      </w:pPr>
    </w:p>
    <w:p>
      <w:pPr>
        <w:jc w:val="both"/>
        <w:ind w:firstLine="173"/>
        <w:spacing w:after="0" w:line="287" w:lineRule="auto"/>
        <w:rPr>
          <w:sz w:val="20"/>
          <w:szCs w:val="20"/>
          <w:color w:val="auto"/>
        </w:rPr>
      </w:pPr>
      <w:r>
        <w:rPr>
          <w:rFonts w:ascii="Times New Roman" w:cs="Times New Roman" w:eastAsia="Times New Roman" w:hAnsi="Times New Roman"/>
          <w:sz w:val="17"/>
          <w:szCs w:val="17"/>
          <w:color w:val="auto"/>
        </w:rPr>
        <w:t>We derive revenue primarily from the sale of our interactive entertainment content, principally for console gaming systems, personal computers, and mobile. We also generate revenue from advertising within our software products.</w:t>
      </w:r>
    </w:p>
    <w:p>
      <w:pPr>
        <w:spacing w:after="0" w:line="83"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Game</w:t>
      </w:r>
      <w:r>
        <w:rPr>
          <w:rFonts w:ascii="Times New Roman" w:cs="Times New Roman" w:eastAsia="Times New Roman" w:hAnsi="Times New Roman"/>
          <w:sz w:val="17"/>
          <w:szCs w:val="17"/>
          <w:color w:val="auto"/>
        </w:rPr>
        <w:t>. Our interactive entertainment content consists of full game software products that may contain offline gameplay, online gameplay,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determine revenue recognition by:</w:t>
      </w:r>
    </w:p>
    <w:p>
      <w:pPr>
        <w:spacing w:after="0" w:line="153"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contract, or contracts, with the customer;</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performance obligations in the contract;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transaction price;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allocating the transaction price to performance obligations in the contract;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recognizing revenue when, or as, we satisfy performance obligations by transferring the promised goods or services.</w:t>
      </w:r>
    </w:p>
    <w:p>
      <w:pPr>
        <w:spacing w:after="0" w:line="136" w:lineRule="exact"/>
        <w:rPr>
          <w:sz w:val="20"/>
          <w:szCs w:val="20"/>
          <w:color w:val="auto"/>
        </w:rPr>
      </w:pPr>
    </w:p>
    <w:p>
      <w:pPr>
        <w:jc w:val="both"/>
        <w:ind w:firstLine="172"/>
        <w:spacing w:after="0" w:line="270" w:lineRule="auto"/>
        <w:rPr>
          <w:sz w:val="20"/>
          <w:szCs w:val="20"/>
          <w:color w:val="auto"/>
        </w:rPr>
      </w:pPr>
      <w:r>
        <w:rPr>
          <w:rFonts w:ascii="Times New Roman" w:cs="Times New Roman" w:eastAsia="Times New Roman" w:hAnsi="Times New Roman"/>
          <w:sz w:val="17"/>
          <w:szCs w:val="17"/>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88" w:lineRule="exact"/>
        <w:rPr>
          <w:sz w:val="20"/>
          <w:szCs w:val="20"/>
          <w:color w:val="auto"/>
        </w:rPr>
      </w:pPr>
    </w:p>
    <w:p>
      <w:pPr>
        <w:jc w:val="both"/>
        <w:ind w:firstLine="195"/>
        <w:spacing w:after="0" w:line="264" w:lineRule="auto"/>
        <w:rPr>
          <w:sz w:val="20"/>
          <w:szCs w:val="20"/>
          <w:color w:val="auto"/>
        </w:rPr>
      </w:pPr>
      <w:r>
        <w:rPr>
          <w:rFonts w:ascii="Times New Roman" w:cs="Times New Roman" w:eastAsia="Times New Roman" w:hAnsi="Times New Roman"/>
          <w:sz w:val="17"/>
          <w:szCs w:val="17"/>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has been transferred to our customers (i.e. upon delivery of the software product).</w:t>
      </w:r>
    </w:p>
    <w:p>
      <w:pPr>
        <w:spacing w:after="0" w:line="107"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7"/>
          <w:szCs w:val="17"/>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 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6" w:name="page77"/>
    <w:bookmarkEnd w:id="76"/>
    <w:p>
      <w:pPr>
        <w:jc w:val="both"/>
        <w:ind w:firstLine="179"/>
        <w:spacing w:after="0" w:line="270" w:lineRule="auto"/>
        <w:rPr>
          <w:sz w:val="20"/>
          <w:szCs w:val="20"/>
          <w:color w:val="auto"/>
        </w:rPr>
      </w:pPr>
      <w:r>
        <w:rPr>
          <w:rFonts w:ascii="Times New Roman" w:cs="Times New Roman" w:eastAsia="Times New Roman" w:hAnsi="Times New Roman"/>
          <w:sz w:val="17"/>
          <w:szCs w:val="17"/>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88" w:lineRule="exact"/>
        <w:rPr>
          <w:sz w:val="20"/>
          <w:szCs w:val="20"/>
          <w:color w:val="auto"/>
        </w:rPr>
      </w:pPr>
    </w:p>
    <w:p>
      <w:pPr>
        <w:jc w:val="both"/>
        <w:ind w:firstLine="200"/>
        <w:spacing w:after="0" w:line="287" w:lineRule="auto"/>
        <w:rPr>
          <w:sz w:val="20"/>
          <w:szCs w:val="20"/>
          <w:color w:val="auto"/>
        </w:rPr>
      </w:pPr>
      <w:r>
        <w:rPr>
          <w:rFonts w:ascii="Times New Roman" w:cs="Times New Roman" w:eastAsia="Times New Roman" w:hAnsi="Times New Roman"/>
          <w:sz w:val="17"/>
          <w:szCs w:val="17"/>
          <w:color w:val="auto"/>
        </w:rPr>
        <w:t>In addition to sales of our full game software products, certain of our software products provide customers with the option to acquire virtual currency or make in-game purchases. Revenue from the sale of virtual currency and in-game purchases is deferred and recognized ratably over an estimated service period.</w:t>
      </w:r>
    </w:p>
    <w:p>
      <w:pPr>
        <w:spacing w:after="0" w:line="87" w:lineRule="exact"/>
        <w:rPr>
          <w:sz w:val="20"/>
          <w:szCs w:val="20"/>
          <w:color w:val="auto"/>
        </w:rPr>
      </w:pPr>
    </w:p>
    <w:p>
      <w:pPr>
        <w:jc w:val="both"/>
        <w:ind w:firstLine="226"/>
        <w:spacing w:after="0" w:line="287" w:lineRule="auto"/>
        <w:rPr>
          <w:sz w:val="20"/>
          <w:szCs w:val="20"/>
          <w:color w:val="auto"/>
        </w:rPr>
      </w:pPr>
      <w:r>
        <w:rPr>
          <w:rFonts w:ascii="Times New Roman" w:cs="Times New Roman" w:eastAsia="Times New Roman" w:hAnsi="Times New Roman"/>
          <w:sz w:val="17"/>
          <w:szCs w:val="17"/>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8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to sales of our full game software products, we also offer free-to-play software products, both of which may provide customers with the option to acquire virtual currency or make in-game purchases. For virtual currency and in-game purchases the satisfaction of our performance obligation is dependent on the nature of the virtual item purchased and as a result, we categorize our virtual items as follows:</w:t>
      </w:r>
    </w:p>
    <w:p>
      <w:pPr>
        <w:spacing w:after="0" w:line="88" w:lineRule="exact"/>
        <w:rPr>
          <w:sz w:val="20"/>
          <w:szCs w:val="20"/>
          <w:color w:val="auto"/>
        </w:rPr>
      </w:pPr>
    </w:p>
    <w:p>
      <w:pPr>
        <w:jc w:val="both"/>
        <w:ind w:left="620" w:hanging="307"/>
        <w:spacing w:after="0" w:line="26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we recognize revenue as the items are consumed (i.e., over time), which approximates less than one month.</w:t>
      </w:r>
    </w:p>
    <w:p>
      <w:pPr>
        <w:spacing w:after="0" w:line="10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Durable: Durable virtual items represent items that are accessible to the player over an extended period of time. We recognize revenue from the sale of durable virtual items ratably over the estimated service period for the applicable game (i.e., over time), which represents our best estimate of the average life of the durable virtual item.</w:t>
      </w:r>
    </w:p>
    <w:p>
      <w:pPr>
        <w:spacing w:after="0" w:line="1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 control of this performance obligation. For the sale of physical software products, recognition of revenue allocated to game related services does not begin until the product is sold-through by our customer to the end user. We currently estimate sell-through to the end user for all our titles to be approximately two months after we have sold-in the software products to retailers or the street date, whichever is later. Determining the estimated sell-through period requires management judgment and estimates.</w:t>
      </w:r>
    </w:p>
    <w:p>
      <w:pPr>
        <w:spacing w:after="0" w:line="96" w:lineRule="exact"/>
        <w:rPr>
          <w:sz w:val="20"/>
          <w:szCs w:val="20"/>
          <w:color w:val="auto"/>
        </w:rPr>
      </w:pPr>
    </w:p>
    <w:p>
      <w:pPr>
        <w:jc w:val="both"/>
        <w:ind w:firstLine="213"/>
        <w:spacing w:after="0" w:line="287" w:lineRule="auto"/>
        <w:rPr>
          <w:sz w:val="20"/>
          <w:szCs w:val="20"/>
          <w:color w:val="auto"/>
        </w:rPr>
      </w:pPr>
      <w:r>
        <w:rPr>
          <w:rFonts w:ascii="Times New Roman" w:cs="Times New Roman" w:eastAsia="Times New Roman" w:hAnsi="Times New Roman"/>
          <w:sz w:val="17"/>
          <w:szCs w:val="17"/>
          <w:color w:val="auto"/>
        </w:rPr>
        <w:t>Our software products are sold as digital downloads. Revenue from digital downloads generally commences when the download is made available to the end user by a third-party digital storefront.</w:t>
      </w:r>
    </w:p>
    <w:p>
      <w:pPr>
        <w:spacing w:after="0" w:line="87" w:lineRule="exact"/>
        <w:rPr>
          <w:sz w:val="20"/>
          <w:szCs w:val="20"/>
          <w:color w:val="auto"/>
        </w:rPr>
      </w:pPr>
    </w:p>
    <w:p>
      <w:pPr>
        <w:jc w:val="both"/>
        <w:ind w:firstLine="174"/>
        <w:spacing w:after="0" w:line="260" w:lineRule="auto"/>
        <w:rPr>
          <w:sz w:val="20"/>
          <w:szCs w:val="20"/>
          <w:color w:val="auto"/>
        </w:rPr>
      </w:pPr>
      <w:r>
        <w:rPr>
          <w:rFonts w:ascii="Times New Roman" w:cs="Times New Roman" w:eastAsia="Times New Roman" w:hAnsi="Times New Roman"/>
          <w:sz w:val="17"/>
          <w:szCs w:val="17"/>
          <w:color w:val="auto"/>
        </w:rPr>
        <w:t>In certain countries, we use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future updates. Based on the allocated transaction price, we recognize revenue associated with the minimum guarantee when we transfer control of the upfront license of intellectual property (generally upon commercial launch) and the remaining portion ratably over the contractual term in which we provide the licensee with future update rights. Royalty payments in excess of the minimum guarantee are generally recognized when the licensed product is sold by the licensee.</w:t>
      </w:r>
    </w:p>
    <w:p>
      <w:pPr>
        <w:spacing w:after="0" w:line="10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Advertising. </w:t>
      </w:r>
      <w:r>
        <w:rPr>
          <w:rFonts w:ascii="Times New Roman" w:cs="Times New Roman" w:eastAsia="Times New Roman" w:hAnsi="Times New Roman"/>
          <w:sz w:val="17"/>
          <w:szCs w:val="17"/>
          <w:color w:val="auto"/>
        </w:rPr>
        <w:t>We have contractual relationships with advertising networks, agencies, advertising brokers, and directly with advertisers to display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advertisements in our games. For our in-game advertising arrangements, our performance obligation is to provide the inventory for advertisements to be displayed in our games. For contracts made directly with advertisers, we are also obligated to serve the advertisements in our games. However, for those direct advertising arrangements, providing the advertising inventory and serving the advertisement is considered a single performance obligation, as the advertiser cannot benefit from the advertising space without its advertisements being displayed.</w:t>
      </w:r>
    </w:p>
    <w:p>
      <w:pPr>
        <w:spacing w:after="0" w:line="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in-game display advertisements, in-game offers, engagement advertisements, and other advertisements, our performance obligation is satisfied over the life of the contract, with revenue being recognized as advertising units are delivered.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144" w:lineRule="exact"/>
        <w:rPr>
          <w:sz w:val="20"/>
          <w:szCs w:val="20"/>
          <w:color w:val="auto"/>
        </w:rPr>
      </w:pPr>
    </w:p>
    <w:p>
      <w:pPr>
        <w:jc w:val="both"/>
        <w:ind w:firstLine="172"/>
        <w:spacing w:after="0" w:line="264" w:lineRule="auto"/>
        <w:rPr>
          <w:sz w:val="20"/>
          <w:szCs w:val="20"/>
          <w:color w:val="auto"/>
        </w:rPr>
      </w:pPr>
      <w:r>
        <w:rPr>
          <w:rFonts w:ascii="Times New Roman" w:cs="Times New Roman" w:eastAsia="Times New Roman" w:hAnsi="Times New Roman"/>
          <w:sz w:val="17"/>
          <w:szCs w:val="17"/>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w:t>
      </w:r>
    </w:p>
    <w:p>
      <w:pPr>
        <w:spacing w:after="0" w:line="107" w:lineRule="exact"/>
        <w:rPr>
          <w:sz w:val="20"/>
          <w:szCs w:val="20"/>
          <w:color w:val="auto"/>
        </w:rPr>
      </w:pPr>
    </w:p>
    <w:p>
      <w:pPr>
        <w:jc w:val="both"/>
        <w:ind w:firstLine="188"/>
        <w:spacing w:after="0" w:line="287" w:lineRule="auto"/>
        <w:rPr>
          <w:sz w:val="20"/>
          <w:szCs w:val="20"/>
          <w:color w:val="auto"/>
        </w:rPr>
      </w:pPr>
      <w:r>
        <w:rPr>
          <w:rFonts w:ascii="Times New Roman" w:cs="Times New Roman" w:eastAsia="Times New Roman" w:hAnsi="Times New Roman"/>
          <w:sz w:val="17"/>
          <w:szCs w:val="17"/>
          <w:color w:val="auto"/>
        </w:rPr>
        <w:t>Our allowances for doubtful accounts are typically immaterial and, if required, are based on our best estimate of expected credit losses inherent in our accounts receivable balance.</w:t>
      </w:r>
    </w:p>
    <w:p>
      <w:pPr>
        <w:spacing w:after="0" w:line="87" w:lineRule="exact"/>
        <w:rPr>
          <w:sz w:val="20"/>
          <w:szCs w:val="20"/>
          <w:color w:val="auto"/>
        </w:rPr>
      </w:pPr>
    </w:p>
    <w:p>
      <w:pPr>
        <w:jc w:val="both"/>
        <w:ind w:firstLine="185"/>
        <w:spacing w:after="0" w:line="270" w:lineRule="auto"/>
        <w:rPr>
          <w:sz w:val="20"/>
          <w:szCs w:val="20"/>
          <w:color w:val="auto"/>
        </w:rPr>
      </w:pPr>
      <w:r>
        <w:rPr>
          <w:rFonts w:ascii="Times New Roman" w:cs="Times New Roman" w:eastAsia="Times New Roman" w:hAnsi="Times New Roman"/>
          <w:sz w:val="17"/>
          <w:szCs w:val="17"/>
          <w:color w:val="auto"/>
        </w:rPr>
        <w:t>Deferred revenue is comprised primarily of unsatisfied revenue related to the portion of the transaction price allocable to game related services of our full game software products, sales of virtual currency, and in-game purchases. These sales are typically invoiced at the beginning of the contract period, and revenue is recognized ratably over the estimated service period. Deferred revenue may also include amounts related to software products with future street dates.</w:t>
      </w:r>
    </w:p>
    <w:p>
      <w:pPr>
        <w:spacing w:after="0" w:line="88" w:lineRule="exact"/>
        <w:rPr>
          <w:sz w:val="20"/>
          <w:szCs w:val="20"/>
          <w:color w:val="auto"/>
        </w:rPr>
      </w:pPr>
    </w:p>
    <w:p>
      <w:pPr>
        <w:ind w:right="1460" w:firstLine="172"/>
        <w:spacing w:after="0" w:line="427" w:lineRule="auto"/>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u w:val="single" w:color="auto"/>
          <w:color w:val="0000FF"/>
        </w:rPr>
        <w:t>Note 2 - Revenue from Contracts with Customers</w:t>
      </w:r>
      <w:r>
        <w:rPr>
          <w:rFonts w:ascii="Times New Roman" w:cs="Times New Roman" w:eastAsia="Times New Roman" w:hAnsi="Times New Roman"/>
          <w:sz w:val="17"/>
          <w:szCs w:val="17"/>
          <w:color w:val="auto"/>
        </w:rPr>
        <w:t xml:space="preserve"> for further information, including changes in deferred revenue during the period. </w:t>
      </w:r>
      <w:r>
        <w:rPr>
          <w:rFonts w:ascii="Times New Roman" w:cs="Times New Roman" w:eastAsia="Times New Roman" w:hAnsi="Times New Roman"/>
          <w:sz w:val="17"/>
          <w:szCs w:val="17"/>
          <w:i w:val="1"/>
          <w:iCs w:val="1"/>
          <w:color w:val="auto"/>
        </w:rPr>
        <w:t>Principal Agent Considerations</w:t>
      </w:r>
    </w:p>
    <w:p>
      <w:pPr>
        <w:spacing w:after="0" w:line="1" w:lineRule="exact"/>
        <w:rPr>
          <w:sz w:val="20"/>
          <w:szCs w:val="20"/>
          <w:color w:val="auto"/>
        </w:rPr>
      </w:pPr>
    </w:p>
    <w:p>
      <w:pPr>
        <w:jc w:val="both"/>
        <w:ind w:firstLine="201"/>
        <w:spacing w:after="0" w:line="261" w:lineRule="auto"/>
        <w:rPr>
          <w:sz w:val="20"/>
          <w:szCs w:val="20"/>
          <w:color w:val="auto"/>
        </w:rPr>
      </w:pPr>
      <w:r>
        <w:rPr>
          <w:rFonts w:ascii="Times New Roman" w:cs="Times New Roman" w:eastAsia="Times New Roman" w:hAnsi="Times New Roman"/>
          <w:sz w:val="17"/>
          <w:szCs w:val="17"/>
          <w:color w:val="auto"/>
        </w:rPr>
        <w:t>We offer certain software products via third-party digital storefronts, such as Microsoft’s Xbox Live, Sony’s PlayStation Network, Valve's Steam, Epic Games Store, Apple's App Store, and the Google Play Store. For sales of our software products via third-party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97"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underlying contract terms and conditions between the various parties to the transaction;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party is primarily responsible for fulfilling the promise to provide the specified good or service;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party has discretion in establishing the price for the specified good or service.</w:t>
      </w:r>
    </w:p>
    <w:p>
      <w:pPr>
        <w:spacing w:after="0" w:line="149"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17"/>
          <w:szCs w:val="17"/>
          <w:color w:val="auto"/>
        </w:rPr>
        <w:t>Based on our evaluation of the above indicators, for sales arrangements via Microsoft’s Xbox Live, Sony’s PlayStation Network, Valve's Steam, and Epic Games Store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 revenue on a gross basis and mobile platform fees charged by these digital storefronts are expensed as incurred and reported within Cost of revenue.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Shipping and Handling</w:t>
      </w:r>
    </w:p>
    <w:p>
      <w:pPr>
        <w:spacing w:after="0" w:line="157" w:lineRule="exact"/>
        <w:rPr>
          <w:sz w:val="20"/>
          <w:szCs w:val="20"/>
          <w:color w:val="auto"/>
        </w:rPr>
      </w:pPr>
    </w:p>
    <w:p>
      <w:pPr>
        <w:jc w:val="both"/>
        <w:ind w:firstLine="192"/>
        <w:spacing w:after="0" w:line="287" w:lineRule="auto"/>
        <w:rPr>
          <w:sz w:val="20"/>
          <w:szCs w:val="20"/>
          <w:color w:val="auto"/>
        </w:rPr>
      </w:pPr>
      <w:r>
        <w:rPr>
          <w:rFonts w:ascii="Times New Roman" w:cs="Times New Roman" w:eastAsia="Times New Roman" w:hAnsi="Times New Roman"/>
          <w:sz w:val="17"/>
          <w:szCs w:val="17"/>
          <w:color w:val="auto"/>
        </w:rPr>
        <w:t>Shipping and handling costs are incurred to move physical software products to customers. We recognize all shipping and handling costs as an expense in Cost of revenue because we are responsible for delivery of the product to our customers prior to transfer of control to the customer.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Estimated Service Period</w:t>
      </w:r>
    </w:p>
    <w:p>
      <w:pPr>
        <w:spacing w:after="0" w:line="15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7"/>
          <w:szCs w:val="17"/>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day played online or first in-game purchase and last day played online. When a new game is launched and therefore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six and fifteen months depending on the software product.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color w:val="auto"/>
        </w:rPr>
        <w:t>Revenue Arrangements with Multiple Performance Obligations</w:t>
      </w:r>
    </w:p>
    <w:p>
      <w:pPr>
        <w:spacing w:after="0" w:line="144" w:lineRule="exact"/>
        <w:rPr>
          <w:sz w:val="20"/>
          <w:szCs w:val="20"/>
          <w:color w:val="auto"/>
        </w:rPr>
      </w:pPr>
    </w:p>
    <w:p>
      <w:pPr>
        <w:jc w:val="both"/>
        <w:ind w:firstLine="248"/>
        <w:spacing w:after="0" w:line="258" w:lineRule="auto"/>
        <w:rPr>
          <w:sz w:val="20"/>
          <w:szCs w:val="20"/>
          <w:color w:val="auto"/>
        </w:rPr>
      </w:pPr>
      <w:r>
        <w:rPr>
          <w:rFonts w:ascii="Times New Roman" w:cs="Times New Roman" w:eastAsia="Times New Roman" w:hAnsi="Times New Roman"/>
          <w:sz w:val="17"/>
          <w:szCs w:val="17"/>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111" w:lineRule="exact"/>
        <w:rPr>
          <w:sz w:val="20"/>
          <w:szCs w:val="20"/>
          <w:color w:val="auto"/>
        </w:rPr>
      </w:pPr>
    </w:p>
    <w:p>
      <w:pPr>
        <w:jc w:val="both"/>
        <w:ind w:firstLine="185"/>
        <w:spacing w:after="0" w:line="264" w:lineRule="auto"/>
        <w:rPr>
          <w:sz w:val="20"/>
          <w:szCs w:val="20"/>
          <w:color w:val="auto"/>
        </w:rPr>
      </w:pPr>
      <w:r>
        <w:rPr>
          <w:rFonts w:ascii="Times New Roman" w:cs="Times New Roman" w:eastAsia="Times New Roman" w:hAnsi="Times New Roman"/>
          <w:sz w:val="17"/>
          <w:szCs w:val="17"/>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Price Protection, Allowances for Returns, and Sales Incentives</w:t>
      </w:r>
    </w:p>
    <w:p>
      <w:pPr>
        <w:spacing w:after="0" w:line="144" w:lineRule="exact"/>
        <w:rPr>
          <w:sz w:val="20"/>
          <w:szCs w:val="20"/>
          <w:color w:val="auto"/>
        </w:rPr>
      </w:pPr>
    </w:p>
    <w:p>
      <w:pPr>
        <w:jc w:val="both"/>
        <w:ind w:firstLine="257"/>
        <w:spacing w:after="0" w:line="264" w:lineRule="auto"/>
        <w:rPr>
          <w:sz w:val="20"/>
          <w:szCs w:val="20"/>
          <w:color w:val="auto"/>
        </w:rPr>
      </w:pPr>
      <w:r>
        <w:rPr>
          <w:rFonts w:ascii="Times New Roman" w:cs="Times New Roman" w:eastAsia="Times New Roman" w:hAnsi="Times New Roman"/>
          <w:sz w:val="17"/>
          <w:szCs w:val="17"/>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1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contract inception and at each subsequent reporting period, we make estimates of price protection and product returns related to current period software product revenue. We estimate the amount of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07" w:lineRule="exact"/>
        <w:rPr>
          <w:sz w:val="20"/>
          <w:szCs w:val="20"/>
          <w:color w:val="auto"/>
        </w:rPr>
      </w:pPr>
    </w:p>
    <w:p>
      <w:pPr>
        <w:jc w:val="both"/>
        <w:ind w:firstLine="197"/>
        <w:spacing w:after="0" w:line="264" w:lineRule="auto"/>
        <w:rPr>
          <w:sz w:val="20"/>
          <w:szCs w:val="20"/>
          <w:color w:val="auto"/>
        </w:rPr>
      </w:pPr>
      <w:r>
        <w:rPr>
          <w:rFonts w:ascii="Times New Roman" w:cs="Times New Roman" w:eastAsia="Times New Roman" w:hAnsi="Times New Roman"/>
          <w:sz w:val="17"/>
          <w:szCs w:val="17"/>
          <w:color w:val="auto"/>
        </w:rPr>
        <w:t>We enter into various sales incentive arrangements with our customers, such as rebates, discounts, and cooperative marketing. These incentives are considered adjustments to the transaction price of our software products and are reflected as reductions to revenue. Sales incentives incurred by us for distinct goods or services received, such as the appearance of our products in a customer’s national circular ad, are included in Selling and marketing expense if there is a separate identifiable benefit and the benefit’s fair value can be established. Otherwise, such sales incentives are reflected as a reduction to revenue.</w:t>
      </w:r>
    </w:p>
    <w:p>
      <w:pPr>
        <w:spacing w:after="0" w:line="9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Revenue is recognized after deducting the estimated price protection, allowances for returns, and sales incentives, which are accounted for as variable consideration. Price protection, allowances for returns, and sales incentives are considered refund liabilities and are reported within Accrued expenses and other current liabilities on our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Estimates</w:t>
      </w:r>
    </w:p>
    <w:p>
      <w:pPr>
        <w:spacing w:after="0" w:line="157" w:lineRule="exact"/>
        <w:rPr>
          <w:sz w:val="20"/>
          <w:szCs w:val="20"/>
          <w:color w:val="auto"/>
        </w:rPr>
      </w:pPr>
    </w:p>
    <w:p>
      <w:pPr>
        <w:jc w:val="both"/>
        <w:ind w:firstLine="172"/>
        <w:spacing w:after="0" w:line="264" w:lineRule="auto"/>
        <w:rPr>
          <w:sz w:val="20"/>
          <w:szCs w:val="20"/>
          <w:color w:val="auto"/>
        </w:rPr>
      </w:pPr>
      <w:r>
        <w:rPr>
          <w:rFonts w:ascii="Times New Roman" w:cs="Times New Roman" w:eastAsia="Times New Roman" w:hAnsi="Times New Roman"/>
          <w:sz w:val="17"/>
          <w:szCs w:val="17"/>
          <w:color w:val="auto"/>
        </w:rPr>
        <w:t>Significant management judgment and estimates must be used in connection with certain of the determinations described above, such as estimating the fair value allocation to distinct and separable performance obligations, and the service period over which to defer recognition of revenue. We believe we can make reliable estimates. However, actual results may differ from initial estimates due to changes in circumstances, market conditions, and assumptions. Adjustments to estimates are recorded in the period in which they become known.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Terms</w:t>
      </w:r>
    </w:p>
    <w:p>
      <w:pPr>
        <w:spacing w:after="0" w:line="15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payment terms and conditions vary by customer and typically provide net 30- to 60-day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144" w:lineRule="exact"/>
        <w:rPr>
          <w:sz w:val="20"/>
          <w:szCs w:val="20"/>
          <w:color w:val="auto"/>
        </w:rPr>
      </w:pPr>
    </w:p>
    <w:p>
      <w:pPr>
        <w:jc w:val="both"/>
        <w:ind w:firstLine="216"/>
        <w:spacing w:after="0" w:line="287" w:lineRule="auto"/>
        <w:rPr>
          <w:sz w:val="20"/>
          <w:szCs w:val="20"/>
          <w:color w:val="auto"/>
        </w:rPr>
      </w:pPr>
      <w:r>
        <w:rPr>
          <w:rFonts w:ascii="Times New Roman" w:cs="Times New Roman" w:eastAsia="Times New Roman" w:hAnsi="Times New Roman"/>
          <w:sz w:val="17"/>
          <w:szCs w:val="17"/>
          <w:color w:val="auto"/>
        </w:rPr>
        <w:t>We expense marketing costs as incurred, except for production costs associated with media advertising, which are deferred and charged to expense when the related advertisement is run for the first time. Advertising, marketing, and other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9" w:name="page80"/>
    <w:bookmarkEnd w:id="79"/>
    <w:p>
      <w:pPr>
        <w:jc w:val="both"/>
        <w:spacing w:after="0" w:line="287" w:lineRule="auto"/>
        <w:rPr>
          <w:sz w:val="20"/>
          <w:szCs w:val="20"/>
          <w:color w:val="auto"/>
        </w:rPr>
      </w:pPr>
      <w:r>
        <w:rPr>
          <w:rFonts w:ascii="Times New Roman" w:cs="Times New Roman" w:eastAsia="Times New Roman" w:hAnsi="Times New Roman"/>
          <w:sz w:val="17"/>
          <w:szCs w:val="17"/>
          <w:color w:val="auto"/>
        </w:rPr>
        <w:t>promotional expenses for the fiscal years ended March 31, 2025, 2024, and 2023 amounted to $1,253.9, $1,132.4, and $1,212.5, respectively, and are included in Selling and marketing expense in our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57" w:lineRule="exact"/>
        <w:rPr>
          <w:sz w:val="20"/>
          <w:szCs w:val="20"/>
          <w:color w:val="auto"/>
        </w:rPr>
      </w:pPr>
    </w:p>
    <w:p>
      <w:pPr>
        <w:jc w:val="both"/>
        <w:ind w:firstLine="285"/>
        <w:spacing w:after="0" w:line="260" w:lineRule="auto"/>
        <w:rPr>
          <w:sz w:val="20"/>
          <w:szCs w:val="20"/>
          <w:color w:val="auto"/>
        </w:rPr>
      </w:pPr>
      <w:r>
        <w:rPr>
          <w:rFonts w:ascii="Times New Roman" w:cs="Times New Roman" w:eastAsia="Times New Roman" w:hAnsi="Times New Roman"/>
          <w:sz w:val="17"/>
          <w:szCs w:val="17"/>
          <w:color w:val="auto"/>
        </w:rPr>
        <w:t xml:space="preserve">We have stock-based compensation plans that are broad-based long-term retention programs intended to attract and retain talented employees and align stockholder and employee interests, which allows for awards of restricted stock, restricted stock units and other stock-based awards of our common stock to employees and non-employees. Our plans include time-based, market-based, and performance-based awards of our common stock to employees and non-employees. In connection with the Zynga acquisition, we assumed replacement equity awards, including restricted stock units and the outstanding and unexercised options to purchase Zynga common stock, and converted them into stock-based awards for shares of Take-Two common stock. Refer to </w:t>
      </w:r>
      <w:r>
        <w:rPr>
          <w:rFonts w:ascii="Times New Roman" w:cs="Times New Roman" w:eastAsia="Times New Roman" w:hAnsi="Times New Roman"/>
          <w:sz w:val="17"/>
          <w:szCs w:val="17"/>
          <w:u w:val="single" w:color="auto"/>
          <w:color w:val="0000FF"/>
        </w:rPr>
        <w:t>Note 16 - Stock-Based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Compensation</w:t>
      </w:r>
      <w:r>
        <w:rPr>
          <w:rFonts w:ascii="Times New Roman" w:cs="Times New Roman" w:eastAsia="Times New Roman" w:hAnsi="Times New Roman"/>
          <w:sz w:val="17"/>
          <w:szCs w:val="17"/>
          <w:color w:val="000000"/>
        </w:rPr>
        <w:t>.</w:t>
      </w:r>
    </w:p>
    <w:p>
      <w:pPr>
        <w:spacing w:after="0" w:line="321" w:lineRule="exact"/>
        <w:rPr>
          <w:sz w:val="20"/>
          <w:szCs w:val="20"/>
          <w:color w:val="auto"/>
        </w:rPr>
      </w:pPr>
    </w:p>
    <w:p>
      <w:pPr>
        <w:jc w:val="both"/>
        <w:ind w:firstLine="171"/>
        <w:spacing w:after="0" w:line="270" w:lineRule="auto"/>
        <w:rPr>
          <w:sz w:val="20"/>
          <w:szCs w:val="20"/>
          <w:color w:val="auto"/>
        </w:rPr>
      </w:pPr>
      <w:r>
        <w:rPr>
          <w:rFonts w:ascii="Times New Roman" w:cs="Times New Roman" w:eastAsia="Times New Roman" w:hAnsi="Times New Roman"/>
          <w:sz w:val="17"/>
          <w:szCs w:val="17"/>
          <w:color w:val="auto"/>
        </w:rPr>
        <w:t>We account for stock-based awards under the fair value method of accounting. The fair value of all stock-based compensation is either capitalized and amortized in accordance with our software development cost accounting policy or recognized as expense on a straight-line basis over the full vesting period of the awards for time-based stock awards and on an accelerated attribution method for market-based and performance-based stock awards.</w:t>
      </w:r>
    </w:p>
    <w:p>
      <w:pPr>
        <w:spacing w:after="0" w:line="88" w:lineRule="exact"/>
        <w:rPr>
          <w:sz w:val="20"/>
          <w:szCs w:val="20"/>
          <w:color w:val="auto"/>
        </w:rPr>
      </w:pPr>
    </w:p>
    <w:p>
      <w:pPr>
        <w:jc w:val="both"/>
        <w:ind w:firstLine="179"/>
        <w:spacing w:after="0" w:line="264" w:lineRule="auto"/>
        <w:rPr>
          <w:sz w:val="20"/>
          <w:szCs w:val="20"/>
          <w:color w:val="auto"/>
        </w:rPr>
      </w:pPr>
      <w:r>
        <w:rPr>
          <w:rFonts w:ascii="Times New Roman" w:cs="Times New Roman" w:eastAsia="Times New Roman" w:hAnsi="Times New Roman"/>
          <w:sz w:val="17"/>
          <w:szCs w:val="17"/>
          <w:color w:val="auto"/>
        </w:rPr>
        <w:t>We estimate the fair value of time-based and performance-based awards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performance-based shares, we do not record expense until the performance criteria are considered probable.</w:t>
      </w:r>
    </w:p>
    <w:p>
      <w:pPr>
        <w:spacing w:after="0" w:line="1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estimate the fair value of stock options using the Black-Scholes option-pricing model. This model requires the use of the following assumptions: expected volatility of our common stock, which is based on our own calculated historical rate; expected life of the option award; expected dividend yield, which is 0%, as we have not paid and do not have any plans to pay dividends on our common stock; and the risk-free interest rate, which is based on the U.S. Treasury rate in effect at the time of grant with maturities commensurate to the stock option award’s expected life. If any of the assumptions used in the Black-Scholes model changes significantly, stock-based compensation expense for future awards may differ materially compared to awards granted previously. We record stock-based compensation expense for stock options based on the grant date fair value on a straight-line basis over the requisite service period of the award.</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Stock-based compensation expense is recorded net of forfeitures as they occur.</w:t>
      </w:r>
    </w:p>
    <w:p>
      <w:pPr>
        <w:spacing w:after="0" w:line="14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Beginning in April 2024, employee participants fulfilled their related tax withholding obligation by selling vested shares at the time of vesting in non-discretionary transactions pursuant to our mandatory sell-to-cover policy. The proceeds from the employee participants' sales of vested shares are remitted to us to cover the tax withholding payments to tax authorities.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(loss) per Share ("EPS")</w:t>
      </w:r>
    </w:p>
    <w:p>
      <w:pPr>
        <w:spacing w:after="0" w:line="157" w:lineRule="exact"/>
        <w:rPr>
          <w:sz w:val="20"/>
          <w:szCs w:val="20"/>
          <w:color w:val="auto"/>
        </w:rPr>
      </w:pPr>
    </w:p>
    <w:p>
      <w:pPr>
        <w:jc w:val="both"/>
        <w:ind w:firstLine="253"/>
        <w:spacing w:after="0" w:line="264" w:lineRule="auto"/>
        <w:rPr>
          <w:sz w:val="20"/>
          <w:szCs w:val="20"/>
          <w:color w:val="auto"/>
        </w:rPr>
      </w:pPr>
      <w:r>
        <w:rPr>
          <w:rFonts w:ascii="Times New Roman" w:cs="Times New Roman" w:eastAsia="Times New Roman" w:hAnsi="Times New Roman"/>
          <w:sz w:val="17"/>
          <w:szCs w:val="17"/>
          <w:color w:val="auto"/>
        </w:rPr>
        <w:t>Basic EPS is computed by dividing the net (loss) income applicable to common stockholders for the period by the weighted average number of shares of common stock outstanding during the same period. Diluted EPS is computed by dividing the net income applicable to common stockholders for the period by the weighted average number of shares of common stock and common stock equivalents outstanding. Common stock equivalents are measured using the treasury stock method and represent unvested stock-based awards.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57" w:lineRule="exact"/>
        <w:rPr>
          <w:sz w:val="20"/>
          <w:szCs w:val="20"/>
          <w:color w:val="auto"/>
        </w:rPr>
      </w:pPr>
    </w:p>
    <w:p>
      <w:pPr>
        <w:jc w:val="both"/>
        <w:ind w:firstLine="233"/>
        <w:spacing w:after="0" w:line="264" w:lineRule="auto"/>
        <w:rPr>
          <w:sz w:val="20"/>
          <w:szCs w:val="20"/>
          <w:color w:val="auto"/>
        </w:rPr>
      </w:pPr>
      <w:r>
        <w:rPr>
          <w:rFonts w:ascii="Times New Roman" w:cs="Times New Roman" w:eastAsia="Times New Roman" w:hAnsi="Times New Roman"/>
          <w:sz w:val="17"/>
          <w:szCs w:val="17"/>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Accumulated other comprehensive loss. Realized and unrealized transaction gains and losses are included in our Consolidated Statements of Operations in the period in which they occur.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Comprehensive (Loss) Income</w:t>
      </w:r>
    </w:p>
    <w:p>
      <w:pPr>
        <w:spacing w:after="0" w:line="144" w:lineRule="exact"/>
        <w:rPr>
          <w:sz w:val="20"/>
          <w:szCs w:val="20"/>
          <w:color w:val="auto"/>
        </w:rPr>
      </w:pPr>
    </w:p>
    <w:p>
      <w:pPr>
        <w:jc w:val="both"/>
        <w:ind w:firstLine="271"/>
        <w:spacing w:after="0" w:line="264" w:lineRule="auto"/>
        <w:rPr>
          <w:sz w:val="20"/>
          <w:szCs w:val="20"/>
          <w:color w:val="auto"/>
        </w:rPr>
      </w:pPr>
      <w:r>
        <w:rPr>
          <w:rFonts w:ascii="Times New Roman" w:cs="Times New Roman" w:eastAsia="Times New Roman" w:hAnsi="Times New Roman"/>
          <w:sz w:val="17"/>
          <w:szCs w:val="17"/>
          <w:color w:val="auto"/>
        </w:rPr>
        <w:t>Comprehensive (loss) income is defined to include all changes in equity except those resulting from investments by owners and distributions to owners. Accumulated other comprehensive loss includes foreign currency translation adjustments, which relate to investments that are permanent in nature and therefore do not require tax adjustments, and the amounts for unrealized gains (losses), net on derivative instruments designated as cash flow hedges, as well as any associated tax impact, and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 Disclosures</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which updates reportable segment disclosure requirements primarily through enhanced disclosures about significant segment expenses. ASU 2023-07 is effective for fiscal years beginning after December 15, 2023 (April 1, 2024 for the Company). The amendments in this ASU must be applied on a retrospective basis to all prior periods presented in the financial statements. We adopted the new guidance for the fiscal year ended March 31, 2025 and included the required disclosures with respect to our one operating segment. Refer to </w:t>
      </w:r>
      <w:r>
        <w:rPr>
          <w:rFonts w:ascii="Times New Roman" w:cs="Times New Roman" w:eastAsia="Times New Roman" w:hAnsi="Times New Roman"/>
          <w:sz w:val="17"/>
          <w:szCs w:val="17"/>
          <w:u w:val="single" w:color="auto"/>
          <w:color w:val="0000FF"/>
        </w:rPr>
        <w:t>Note 22 - Segment Reporting and Geographic Information</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 Disaggregation Disclosures</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which requires additional, disaggregated disclosure about certain income statement expense line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items. ASU 2024-03 is effective for fiscal years beginning after December 15, 2026 (April 1, 2027 for the Company) and interim periods within fiscal years beginning after December 15, 2027 (April 1, 2028 for the Company). We are currently evaluating the potential impact of adopting this guidance on our Consolidated Financial Statements and related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Disclosures</w:t>
      </w:r>
    </w:p>
    <w:p>
      <w:pPr>
        <w:spacing w:after="0" w:line="14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expands disclosures in an entity’s income tax rate reconciliation table and regarding cash taxes paid both in the U.S. and foreign jurisdictions. ASU 2023-09 is effective for fiscal years beginning after December 15, 2024 (April 1, 2025 for the Company). The amendments in this ASU are required to be applied on a prospective basis and retrospective adoption is permitted. We are currently evaluating the potential impact of adopting this guidance on our Consolidated Financial Statements and related disclosures.</w:t>
      </w:r>
    </w:p>
    <w:p>
      <w:pPr>
        <w:spacing w:after="0" w:line="106" w:lineRule="exact"/>
        <w:rPr>
          <w:sz w:val="20"/>
          <w:szCs w:val="20"/>
          <w:color w:val="auto"/>
        </w:rPr>
      </w:pPr>
    </w:p>
    <w:p>
      <w:pPr>
        <w:ind w:right="6700" w:firstLine="3"/>
        <w:spacing w:after="0" w:line="418" w:lineRule="auto"/>
        <w:tabs>
          <w:tab w:leader="none" w:pos="344"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 Disaggregation of Revenue</w:t>
      </w: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recognition</w:t>
      </w:r>
    </w:p>
    <w:p>
      <w:pPr>
        <w:spacing w:after="0" w:line="15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revenue recognized at a point in time is primarily comprised of the portion of revenue from software products that is recognized when the customer takes control of the product (i.e. upon delivery of the software product).</w:t>
      </w:r>
    </w:p>
    <w:p>
      <w:pPr>
        <w:spacing w:after="0" w:line="8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revenue recognized over time is primarily comprised of revenue from our software products that include game related services, separate virtual currency transactions, and in-game purchases, which are recognized over an estimated service period. Net revenue recognized over time also includes in-game advertising, which is recognized over a contractual term.</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revenue by timing of recognition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1"/>
        </w:trPr>
        <w:tc>
          <w:tcPr>
            <w:tcW w:w="4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recognized:</w:t>
            </w: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Over time</w:t>
            </w:r>
          </w:p>
        </w:tc>
        <w:tc>
          <w:tcPr>
            <w:tcW w:w="1400" w:type="dxa"/>
            <w:vAlign w:val="bottom"/>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4,504.8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4,312.2</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4,208.0</w:t>
            </w:r>
          </w:p>
        </w:tc>
      </w:tr>
      <w:tr>
        <w:trPr>
          <w:trHeight w:val="21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Point in time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w:t>
            </w:r>
          </w:p>
        </w:tc>
      </w:tr>
      <w:tr>
        <w:trPr>
          <w:trHeight w:val="212"/>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5,349.6</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5,349.9</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Content</w:t>
      </w:r>
    </w:p>
    <w:p>
      <w:pPr>
        <w:spacing w:after="0" w:line="159" w:lineRule="exact"/>
        <w:rPr>
          <w:sz w:val="20"/>
          <w:szCs w:val="20"/>
          <w:color w:val="auto"/>
        </w:rPr>
      </w:pPr>
    </w:p>
    <w:p>
      <w:pPr>
        <w:jc w:val="both"/>
        <w:ind w:firstLine="207"/>
        <w:spacing w:after="0" w:line="287" w:lineRule="auto"/>
        <w:rPr>
          <w:sz w:val="20"/>
          <w:szCs w:val="20"/>
          <w:color w:val="auto"/>
        </w:rPr>
      </w:pPr>
      <w:r>
        <w:rPr>
          <w:rFonts w:ascii="Times New Roman" w:cs="Times New Roman" w:eastAsia="Times New Roman" w:hAnsi="Times New Roman"/>
          <w:sz w:val="17"/>
          <w:szCs w:val="17"/>
          <w:color w:val="auto"/>
        </w:rPr>
        <w:t>Recurrent consumer spending ("RCS") is generated from ongoing consumer engagement and includes revenue from virtual currency, add-on content, in-game purchases, and in-game advertising.</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Full game and other revenue primarily includes the initial sale of full game software products, which may include offline and/or significant game related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81" w:name="page82"/>
    <w:bookmarkEnd w:id="81"/>
    <w:p>
      <w:pPr>
        <w:ind w:left="620"/>
        <w:spacing w:after="0"/>
        <w:rPr>
          <w:sz w:val="20"/>
          <w:szCs w:val="20"/>
          <w:color w:val="auto"/>
        </w:rPr>
      </w:pPr>
      <w:r>
        <w:rPr>
          <w:rFonts w:ascii="Times New Roman" w:cs="Times New Roman" w:eastAsia="Times New Roman" w:hAnsi="Times New Roman"/>
          <w:sz w:val="17"/>
          <w:szCs w:val="17"/>
          <w:color w:val="auto"/>
        </w:rPr>
        <w:t>Net revenue by content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Fiscal Year Ended March 31,</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1"/>
        </w:trPr>
        <w:tc>
          <w:tcPr>
            <w:tcW w:w="4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recognized:</w:t>
            </w: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Recurrent consumer spending</w:t>
            </w:r>
          </w:p>
        </w:tc>
        <w:tc>
          <w:tcPr>
            <w:tcW w:w="1400" w:type="dxa"/>
            <w:vAlign w:val="bottom"/>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4,180.4</w:t>
            </w:r>
          </w:p>
        </w:tc>
      </w:tr>
      <w:tr>
        <w:trPr>
          <w:trHeight w:val="21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Full game and other</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1,169.5</w:t>
            </w:r>
          </w:p>
        </w:tc>
      </w:tr>
      <w:tr>
        <w:trPr>
          <w:trHeight w:val="212"/>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5,349.9</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13"/>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Platform</w:t>
            </w: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3"/>
        </w:trPr>
        <w:tc>
          <w:tcPr>
            <w:tcW w:w="45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Net revenue by platform was as follows:</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Fiscal Year Ended March 31,</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1"/>
        </w:trPr>
        <w:tc>
          <w:tcPr>
            <w:tcW w:w="4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recognized:</w:t>
            </w: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Mobile</w:t>
            </w:r>
          </w:p>
        </w:tc>
        <w:tc>
          <w:tcPr>
            <w:tcW w:w="1400" w:type="dxa"/>
            <w:vAlign w:val="bottom"/>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2,538.6</w:t>
            </w:r>
          </w:p>
        </w:tc>
      </w:tr>
      <w:tr>
        <w:trPr>
          <w:trHeight w:val="21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2,303.8</w:t>
            </w:r>
          </w:p>
        </w:tc>
      </w:tr>
      <w:tr>
        <w:trPr>
          <w:trHeight w:val="21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PC and other</w:t>
            </w:r>
          </w:p>
        </w:tc>
        <w:tc>
          <w:tcPr>
            <w:tcW w:w="1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507.5</w:t>
            </w:r>
          </w:p>
        </w:tc>
      </w:tr>
      <w:tr>
        <w:trPr>
          <w:trHeight w:val="237"/>
        </w:trPr>
        <w:tc>
          <w:tcPr>
            <w:tcW w:w="4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5,349.9</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 Channel</w:t>
      </w:r>
    </w:p>
    <w:p>
      <w:pPr>
        <w:spacing w:after="0" w:line="159" w:lineRule="exact"/>
        <w:rPr>
          <w:sz w:val="20"/>
          <w:szCs w:val="20"/>
          <w:color w:val="auto"/>
        </w:rPr>
      </w:pPr>
    </w:p>
    <w:p>
      <w:pPr>
        <w:jc w:val="both"/>
        <w:ind w:firstLine="201"/>
        <w:spacing w:after="0" w:line="287" w:lineRule="auto"/>
        <w:rPr>
          <w:sz w:val="20"/>
          <w:szCs w:val="20"/>
          <w:color w:val="auto"/>
        </w:rPr>
      </w:pPr>
      <w:r>
        <w:rPr>
          <w:rFonts w:ascii="Times New Roman" w:cs="Times New Roman" w:eastAsia="Times New Roman" w:hAnsi="Times New Roman"/>
          <w:sz w:val="17"/>
          <w:szCs w:val="17"/>
          <w:color w:val="auto"/>
        </w:rPr>
        <w:t>Our products are delivered through digital online services (digital download, online platforms, and cloud streaming) and physical retail and other. Net revenue by distribution channel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1"/>
        </w:trPr>
        <w:tc>
          <w:tcPr>
            <w:tcW w:w="4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recognized:</w:t>
            </w: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Digital online</w:t>
            </w:r>
          </w:p>
        </w:tc>
        <w:tc>
          <w:tcPr>
            <w:tcW w:w="1400" w:type="dxa"/>
            <w:vAlign w:val="bottom"/>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5,431.8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5,112.2</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5,085.7</w:t>
            </w:r>
          </w:p>
        </w:tc>
      </w:tr>
      <w:tr>
        <w:trPr>
          <w:trHeight w:val="21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Physical retail and other</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w:t>
            </w:r>
          </w:p>
        </w:tc>
      </w:tr>
      <w:tr>
        <w:trPr>
          <w:trHeight w:val="212"/>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5,349.6</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5,349.9</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Revenue</w:t>
      </w:r>
    </w:p>
    <w:p>
      <w:pPr>
        <w:spacing w:after="0" w:line="144" w:lineRule="exact"/>
        <w:rPr>
          <w:sz w:val="20"/>
          <w:szCs w:val="20"/>
          <w:color w:val="auto"/>
        </w:rPr>
      </w:pPr>
    </w:p>
    <w:p>
      <w:pPr>
        <w:jc w:val="both"/>
        <w:ind w:firstLine="174"/>
        <w:spacing w:after="0" w:line="261" w:lineRule="auto"/>
        <w:rPr>
          <w:sz w:val="20"/>
          <w:szCs w:val="20"/>
          <w:color w:val="auto"/>
        </w:rPr>
      </w:pPr>
      <w:r>
        <w:rPr>
          <w:rFonts w:ascii="Times New Roman" w:cs="Times New Roman" w:eastAsia="Times New Roman" w:hAnsi="Times New Roman"/>
          <w:sz w:val="17"/>
          <w:szCs w:val="17"/>
          <w:color w:val="auto"/>
        </w:rPr>
        <w:t>We record deferred revenue when payments are due or received in advance of the fulfillment of our associated performance obligations. The balance of deferred revenue, including current and non-current balances as of March 31, 2025 and March 31, 2024 were $1,108.9 and $1,102.4, respectively. For the fiscal year ended March 31, 2025, the additions to our deferred revenue balance were primarily due to cash payments received or due in advance of satisfying our performance obligations, while the reductions to our deferred revenue balance were primarily due to the recognition of revenue upon fulfillment of our performance obligations, both of which were in the ordinary course of business.</w:t>
      </w:r>
    </w:p>
    <w:p>
      <w:pPr>
        <w:spacing w:after="0" w:line="110" w:lineRule="exact"/>
        <w:rPr>
          <w:sz w:val="20"/>
          <w:szCs w:val="20"/>
          <w:color w:val="auto"/>
        </w:rPr>
      </w:pPr>
    </w:p>
    <w:p>
      <w:pPr>
        <w:jc w:val="both"/>
        <w:ind w:firstLine="225"/>
        <w:spacing w:after="0" w:line="261" w:lineRule="auto"/>
        <w:rPr>
          <w:sz w:val="20"/>
          <w:szCs w:val="20"/>
          <w:color w:val="auto"/>
        </w:rPr>
      </w:pPr>
      <w:r>
        <w:rPr>
          <w:rFonts w:ascii="Times New Roman" w:cs="Times New Roman" w:eastAsia="Times New Roman" w:hAnsi="Times New Roman"/>
          <w:sz w:val="17"/>
          <w:szCs w:val="17"/>
          <w:color w:val="auto"/>
        </w:rPr>
        <w:t>During the fiscal year ended March 31, 2025, $1,044.4 of revenue was recognized that was included in the deferred revenue balance at the beginning of the respective period. As of March 31, 2025, the aggregate amount of contract revenue allocated to unsatisfied performance obligations is $1,329.4, which includes our deferred revenue balances and amounts to be invoiced and recognized as revenue in future periods. We expect to recognize approximately $1,240.1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As of March 31, 2025 and March 31, 2024, our contract asset balances were $80.8 and $85.0, respectively.</w:t>
      </w:r>
    </w:p>
    <w:p>
      <w:pPr>
        <w:spacing w:after="0" w:line="136" w:lineRule="exact"/>
        <w:rPr>
          <w:sz w:val="20"/>
          <w:szCs w:val="20"/>
          <w:color w:val="auto"/>
        </w:rPr>
      </w:pPr>
    </w:p>
    <w:p>
      <w:pPr>
        <w:ind w:left="340" w:hanging="337"/>
        <w:spacing w:after="0"/>
        <w:tabs>
          <w:tab w:leader="none" w:pos="34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MANAGEMENT AGREEMENT</w:t>
      </w:r>
    </w:p>
    <w:p>
      <w:pPr>
        <w:spacing w:after="0" w:line="157" w:lineRule="exact"/>
        <w:rPr>
          <w:sz w:val="20"/>
          <w:szCs w:val="20"/>
          <w:color w:val="auto"/>
        </w:rPr>
      </w:pPr>
    </w:p>
    <w:p>
      <w:pPr>
        <w:jc w:val="both"/>
        <w:ind w:firstLine="206"/>
        <w:spacing w:after="0" w:line="261" w:lineRule="auto"/>
        <w:rPr>
          <w:sz w:val="20"/>
          <w:szCs w:val="20"/>
          <w:color w:val="auto"/>
        </w:rPr>
      </w:pPr>
      <w:r>
        <w:rPr>
          <w:rFonts w:ascii="Times New Roman" w:cs="Times New Roman" w:eastAsia="Times New Roman" w:hAnsi="Times New Roman"/>
          <w:sz w:val="17"/>
          <w:szCs w:val="17"/>
          <w:color w:val="auto"/>
        </w:rPr>
        <w:t>In November 2017, we entered into a management agreement (the "2017 Management Agreement") with ZelnickMedia Corporation ("ZelnickMedia"), which replaced our previous agreement with ZelnickMedia and pursuant to which ZelnickMedia provided financial and management consulting services to the Company through March 31, 2024. The 2017 Management Agreement became effective January 1, 2018. As part of the 2017 Management Agreement, Strauss Zelnick, the President of ZelnickMedia, continued to serve as Executive Chairman and Chief Executive Officer of the Company, and Karl Slatoff, a partner of ZelnickMedia, continued to serve as President of the Company. The 2017 Management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2" w:name="page83"/>
    <w:bookmarkEnd w:id="82"/>
    <w:p>
      <w:pPr>
        <w:jc w:val="both"/>
        <w:spacing w:after="0" w:line="287" w:lineRule="auto"/>
        <w:rPr>
          <w:sz w:val="20"/>
          <w:szCs w:val="20"/>
          <w:color w:val="auto"/>
        </w:rPr>
      </w:pPr>
      <w:r>
        <w:rPr>
          <w:rFonts w:ascii="Times New Roman" w:cs="Times New Roman" w:eastAsia="Times New Roman" w:hAnsi="Times New Roman"/>
          <w:sz w:val="17"/>
          <w:szCs w:val="17"/>
          <w:color w:val="auto"/>
        </w:rPr>
        <w:t>provided for an annual management fee of $3.1 over the term of the agreement and a maximum annual bonus opportunity of $7.4 over the term of the agreement, based on the Company achieving certain performance thresholds.</w:t>
      </w:r>
    </w:p>
    <w:p>
      <w:pPr>
        <w:spacing w:after="0" w:line="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May 2022, we entered into a new management agreement (the "2022 Management Agreement") with ZelnickMedia that replaced the 2017 Management Agreement and pursuant to which ZelnickMedia will continue to provide financial and management consulting services to the Company through March 31, 2029. The 2022 Management Agreement became effective May 23, 2022, when our acquisition of Zynga closed. On May 21, 2022, ZelnickMedia assigned substantially all of its rights and obligations and other liabilities under the 2022 Management Agreement to ZMC Advisors, L.P. ("ZMC Advisors"). References to "ZMC" herein shall mean either ZelnickMedia or ZMC Advisors, as appropriate. As part of the 2022 Management Agreement, Strauss Zelnick continues to serve as Executive Chairman and Chief Executive Officer of the Company, and Karl Slatoff continues to serve as President of the Company. The 2022 Management Agreement provides for an annual management fee of $3.3 over the term of the agreement and a maximum annual bonus opportunity of $13.2 over the term of the agreement, based on the Company achieving certain performance thresholds. In connection with the 2022 Management Agreement, we have and expect to grant time-based and performance-based restricted units to ZMC.</w:t>
      </w:r>
    </w:p>
    <w:p>
      <w:pPr>
        <w:spacing w:after="0" w:line="114" w:lineRule="exact"/>
        <w:rPr>
          <w:sz w:val="20"/>
          <w:szCs w:val="20"/>
          <w:color w:val="auto"/>
        </w:rPr>
      </w:pPr>
    </w:p>
    <w:p>
      <w:pPr>
        <w:jc w:val="both"/>
        <w:ind w:firstLine="223"/>
        <w:spacing w:after="0" w:line="287" w:lineRule="auto"/>
        <w:rPr>
          <w:sz w:val="20"/>
          <w:szCs w:val="20"/>
          <w:color w:val="auto"/>
        </w:rPr>
      </w:pPr>
      <w:r>
        <w:rPr>
          <w:rFonts w:ascii="Times New Roman" w:cs="Times New Roman" w:eastAsia="Times New Roman" w:hAnsi="Times New Roman"/>
          <w:sz w:val="17"/>
          <w:szCs w:val="17"/>
          <w:color w:val="auto"/>
        </w:rPr>
        <w:t>In consideration for ZMC's services, we recorded consulting expense (a component of General and administrative expenses) of $10.2, $6.5, and $3.5 for the fiscal years ended March 31, 2025, 2024, and 2023, respectively.</w:t>
      </w:r>
    </w:p>
    <w:p>
      <w:pPr>
        <w:spacing w:after="0" w:line="87" w:lineRule="exact"/>
        <w:rPr>
          <w:sz w:val="20"/>
          <w:szCs w:val="20"/>
          <w:color w:val="auto"/>
        </w:rPr>
      </w:pPr>
    </w:p>
    <w:p>
      <w:pPr>
        <w:jc w:val="both"/>
        <w:ind w:firstLine="223"/>
        <w:spacing w:after="0" w:line="270" w:lineRule="auto"/>
        <w:rPr>
          <w:sz w:val="20"/>
          <w:szCs w:val="20"/>
          <w:color w:val="auto"/>
        </w:rPr>
      </w:pPr>
      <w:r>
        <w:rPr>
          <w:rFonts w:ascii="Times New Roman" w:cs="Times New Roman" w:eastAsia="Times New Roman" w:hAnsi="Times New Roman"/>
          <w:sz w:val="17"/>
          <w:szCs w:val="17"/>
          <w:color w:val="auto"/>
        </w:rPr>
        <w:t xml:space="preserve">Pursuant to the 2022 Management Agreement and 2017 Management Agreement, we also issued stock-based awards to ZMC. During the fiscal years ended March 31, 2025, 2024, and 2023, we recorded $56.2, $52.8, and $47.1, respectively, of stock-based compensation expense for non-employee awards, which is included in General and administrative expenses. See </w:t>
      </w:r>
      <w:r>
        <w:rPr>
          <w:rFonts w:ascii="Times New Roman" w:cs="Times New Roman" w:eastAsia="Times New Roman" w:hAnsi="Times New Roman"/>
          <w:sz w:val="17"/>
          <w:szCs w:val="17"/>
          <w:u w:val="single" w:color="auto"/>
          <w:color w:val="0000FF"/>
        </w:rPr>
        <w:t>Note 16 - Stock-Based Compensation</w:t>
      </w:r>
      <w:r>
        <w:rPr>
          <w:rFonts w:ascii="Times New Roman" w:cs="Times New Roman" w:eastAsia="Times New Roman" w:hAnsi="Times New Roman"/>
          <w:sz w:val="17"/>
          <w:szCs w:val="17"/>
          <w:color w:val="auto"/>
        </w:rPr>
        <w:t xml:space="preserve"> for a discussion of such awards.</w:t>
      </w:r>
    </w:p>
    <w:p>
      <w:pPr>
        <w:spacing w:after="0" w:line="84" w:lineRule="exact"/>
        <w:rPr>
          <w:sz w:val="20"/>
          <w:szCs w:val="20"/>
          <w:color w:val="auto"/>
        </w:rPr>
      </w:pPr>
    </w:p>
    <w:p>
      <w:pPr>
        <w:ind w:left="340" w:hanging="337"/>
        <w:spacing w:after="0"/>
        <w:tabs>
          <w:tab w:leader="none" w:pos="34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Recurring fair value measurements</w:t>
      </w:r>
    </w:p>
    <w:p>
      <w:pPr>
        <w:spacing w:after="0" w:line="15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7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87"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1—Quoted prices in active markets for identical assets or liabilities.</w:t>
      </w:r>
    </w:p>
    <w:p>
      <w:pPr>
        <w:spacing w:after="0" w:line="152"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2—Observable inputs other than quoted prices included in Level 1, such as quoted prices for markets that are not active or other inputs that are observable or can be corroborated by observable market data.</w:t>
      </w:r>
    </w:p>
    <w:p>
      <w:pPr>
        <w:spacing w:after="0" w:line="73"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8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9"/>
              </w:rPr>
              <w:t>Quoted prices in</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active markets for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identical assets</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unobservable</w:t>
            </w:r>
          </w:p>
        </w:tc>
        <w:tc>
          <w:tcPr>
            <w:tcW w:w="240" w:type="dxa"/>
            <w:vAlign w:val="bottom"/>
          </w:tcPr>
          <w:p>
            <w:pPr>
              <w:spacing w:after="0"/>
              <w:rPr>
                <w:sz w:val="11"/>
                <w:szCs w:val="11"/>
                <w:color w:val="auto"/>
              </w:rPr>
            </w:pPr>
          </w:p>
        </w:tc>
        <w:tc>
          <w:tcPr>
            <w:tcW w:w="8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 (level 3)</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842.6</w:t>
            </w:r>
          </w:p>
        </w:tc>
        <w:tc>
          <w:tcPr>
            <w:tcW w:w="0" w:type="dxa"/>
            <w:vAlign w:val="bottom"/>
          </w:tcPr>
          <w:p>
            <w:pPr>
              <w:spacing w:after="0"/>
              <w:rPr>
                <w:sz w:val="1"/>
                <w:szCs w:val="1"/>
                <w:color w:val="auto"/>
              </w:rPr>
            </w:pPr>
          </w:p>
        </w:tc>
      </w:tr>
      <w:tr>
        <w:trPr>
          <w:trHeight w:val="219"/>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296.4</w:t>
            </w: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Bank-time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 long term:</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w:t>
            </w:r>
          </w:p>
        </w:tc>
        <w:tc>
          <w:tcPr>
            <w:tcW w:w="0" w:type="dxa"/>
            <w:vAlign w:val="bottom"/>
          </w:tcPr>
          <w:p>
            <w:pPr>
              <w:spacing w:after="0"/>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19"/>
        </w:trPr>
        <w:tc>
          <w:tcPr>
            <w:tcW w:w="6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Private equity</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3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financial assets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1,282.1</w:t>
            </w:r>
          </w:p>
        </w:tc>
        <w:tc>
          <w:tcPr>
            <w:tcW w:w="0" w:type="dxa"/>
            <w:vAlign w:val="bottom"/>
          </w:tcPr>
          <w:p>
            <w:pPr>
              <w:spacing w:after="0"/>
              <w:rPr>
                <w:sz w:val="1"/>
                <w:szCs w:val="1"/>
                <w:color w:val="auto"/>
              </w:rPr>
            </w:pPr>
          </w:p>
        </w:tc>
      </w:tr>
      <w:tr>
        <w:trPr>
          <w:trHeight w:val="20"/>
        </w:trPr>
        <w:tc>
          <w:tcPr>
            <w:tcW w:w="6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forward contracts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1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Convertible notes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12"/>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b w:val="1"/>
                <w:bCs w:val="1"/>
                <w:color w:val="auto"/>
              </w:rPr>
              <w:t>28.6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28.6</w:t>
            </w:r>
          </w:p>
        </w:tc>
        <w:tc>
          <w:tcPr>
            <w:tcW w:w="0" w:type="dxa"/>
            <w:vAlign w:val="bottom"/>
          </w:tcPr>
          <w:p>
            <w:pPr>
              <w:spacing w:after="0"/>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1030" w:right="7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9"/>
              </w:rPr>
              <w:t>Quoted prices in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identical assets</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observable</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unobservable</w:t>
            </w:r>
          </w:p>
        </w:tc>
        <w:tc>
          <w:tcPr>
            <w:tcW w:w="360" w:type="dxa"/>
            <w:vAlign w:val="bottom"/>
          </w:tcPr>
          <w:p>
            <w:pPr>
              <w:spacing w:after="0"/>
              <w:rPr>
                <w:sz w:val="12"/>
                <w:szCs w:val="12"/>
                <w:color w:val="auto"/>
              </w:rPr>
            </w:pPr>
          </w:p>
        </w:tc>
        <w:tc>
          <w:tcPr>
            <w:tcW w:w="11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inputs (level 2)</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 (level 3)</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w:t>
            </w: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Bank-time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 long term:</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0" w:type="dxa"/>
            <w:vAlign w:val="bottom"/>
          </w:tcPr>
          <w:p>
            <w:pPr>
              <w:spacing w:after="0"/>
              <w:rPr>
                <w:sz w:val="1"/>
                <w:szCs w:val="1"/>
                <w:color w:val="auto"/>
              </w:rPr>
            </w:pPr>
          </w:p>
        </w:tc>
      </w:tr>
      <w:tr>
        <w:trPr>
          <w:trHeight w:val="21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Private equity</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Contingent earn-out consideration</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Contingent earn-out consideration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 net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Convertible notes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Convertible notes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37"/>
        </w:trPr>
        <w:tc>
          <w:tcPr>
            <w:tcW w:w="6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did not have any transfers between Level 1 and Level 2 fair value measurements, nor did we have any transfers into or out of Level 3 during the fiscal year ended March 31,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Nonrecurring fair value measurements</w:t>
      </w:r>
    </w:p>
    <w:p>
      <w:pPr>
        <w:spacing w:after="0" w:line="15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Times New Roman" w:cs="Times New Roman" w:eastAsia="Times New Roman" w:hAnsi="Times New Roman"/>
          <w:sz w:val="17"/>
          <w:szCs w:val="17"/>
          <w:i w:val="1"/>
          <w:iCs w:val="1"/>
          <w:color w:val="auto"/>
        </w:rPr>
        <w:t>Investments-Equity Securities</w:t>
      </w:r>
      <w:r>
        <w:rPr>
          <w:rFonts w:ascii="Times New Roman" w:cs="Times New Roman" w:eastAsia="Times New Roman" w:hAnsi="Times New Roman"/>
          <w:sz w:val="17"/>
          <w:szCs w:val="17"/>
          <w:color w:val="auto"/>
        </w:rPr>
        <w:t>, to measure these investments at cost less any impairment, adjusted for observable price changes, if any. Based on these considerations, we estimate that the carrying value of the acquired shares represents the fair value of the investment. At March 31, 2025 and March 31, 2024, we held $8.0 and $8.0, respectively, of such investments in Other assets within our Consolidated Balance Sheet.</w:t>
      </w:r>
    </w:p>
    <w:p>
      <w:pPr>
        <w:spacing w:after="0" w:line="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u w:val="single" w:color="auto"/>
          <w:color w:val="0000FF"/>
        </w:rPr>
        <w:t>Note 9 - Goodwill and Intangible Assets, Net</w:t>
      </w:r>
      <w:r>
        <w:rPr>
          <w:rFonts w:ascii="Times New Roman" w:cs="Times New Roman" w:eastAsia="Times New Roman" w:hAnsi="Times New Roman"/>
          <w:sz w:val="17"/>
          <w:szCs w:val="17"/>
          <w:color w:val="auto"/>
        </w:rPr>
        <w:t xml:space="preserve"> for goodwill and intangible related fair value measurements.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5" w:name="page86"/>
    <w:bookmarkEnd w:id="85"/>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5.</w:t>
        <w:tab/>
        <w:t>SHORT-TERM INVESTMENTS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short-term investments consisted of the following as of March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Cost or</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8"/>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Pr>
          <w:p>
            <w:pPr>
              <w:spacing w:after="0"/>
              <w:rPr>
                <w:sz w:val="16"/>
                <w:szCs w:val="16"/>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8"/>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9"/>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Bank time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37"/>
        </w:trPr>
        <w:tc>
          <w:tcPr>
            <w:tcW w:w="6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13"/>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Cost or</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Pr>
          <w:p>
            <w:pPr>
              <w:spacing w:after="0"/>
              <w:rPr>
                <w:sz w:val="16"/>
                <w:szCs w:val="16"/>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7"/>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9"/>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Bank time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37"/>
        </w:trPr>
        <w:tc>
          <w:tcPr>
            <w:tcW w:w="6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22.0</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78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contracted maturities of our short-term investments at March 31, 2025: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4"/>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6"/>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8"/>
        </w:trPr>
        <w:tc>
          <w:tcPr>
            <w:tcW w:w="6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9"/>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Due in 1 year or less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37"/>
        </w:trPr>
        <w:tc>
          <w:tcPr>
            <w:tcW w:w="6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9.4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40" w:hanging="337"/>
        <w:spacing w:after="0"/>
        <w:tabs>
          <w:tab w:leader="none" w:pos="3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 INSTRUMENTS AND HEDGING ACTIVITIES</w:t>
      </w:r>
    </w:p>
    <w:p>
      <w:pPr>
        <w:spacing w:after="0" w:line="157" w:lineRule="exact"/>
        <w:rPr>
          <w:sz w:val="20"/>
          <w:szCs w:val="20"/>
          <w:color w:val="auto"/>
        </w:rPr>
      </w:pPr>
    </w:p>
    <w:p>
      <w:pPr>
        <w:jc w:val="both"/>
        <w:ind w:firstLine="188"/>
        <w:spacing w:after="0" w:line="264" w:lineRule="auto"/>
        <w:rPr>
          <w:sz w:val="20"/>
          <w:szCs w:val="20"/>
          <w:color w:val="auto"/>
        </w:rPr>
      </w:pPr>
      <w:r>
        <w:rPr>
          <w:rFonts w:ascii="Times New Roman" w:cs="Times New Roman" w:eastAsia="Times New Roman" w:hAnsi="Times New Roman"/>
          <w:sz w:val="17"/>
          <w:szCs w:val="17"/>
          <w:color w:val="auto"/>
        </w:rPr>
        <w:t>Our risk management strategy includes the use of derivative financial instruments to reduce the volatility associated with changes in foreign currency exchange rates on earnings, cash flows, and certain balance sheet amounts.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forward contracts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the gross notional amounts of foreign currency forward contracts: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5"/>
                <w:szCs w:val="15"/>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8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contracts to sell foreign currencies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299.8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r>
      <w:tr>
        <w:trPr>
          <w:trHeight w:val="227"/>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Forward contracts to purchase foreign currencies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r>
    </w:tbl>
    <w:p>
      <w:pPr>
        <w:spacing w:after="0" w:line="195" w:lineRule="exact"/>
        <w:rPr>
          <w:sz w:val="20"/>
          <w:szCs w:val="20"/>
          <w:color w:val="auto"/>
        </w:rPr>
      </w:pPr>
    </w:p>
    <w:p>
      <w:pPr>
        <w:jc w:val="both"/>
        <w:ind w:firstLine="234"/>
        <w:spacing w:after="0" w:line="264" w:lineRule="auto"/>
        <w:rPr>
          <w:sz w:val="20"/>
          <w:szCs w:val="20"/>
          <w:color w:val="auto"/>
        </w:rPr>
      </w:pPr>
      <w:r>
        <w:rPr>
          <w:rFonts w:ascii="Times New Roman" w:cs="Times New Roman" w:eastAsia="Times New Roman" w:hAnsi="Times New Roman"/>
          <w:sz w:val="17"/>
          <w:szCs w:val="17"/>
          <w:color w:val="auto"/>
        </w:rPr>
        <w:t>For the fiscal years ended March 31, 2025, 2024, and 2023, we recorded a gain of $5.3, a gain of $5.3, and a loss of $15.1, respectively, related to foreign currency forward contracts in Interest and other, net on our Consolidated Statements of Operations. Our foreign currency exchange forward contracts are not designated as hedging instruments under hedge accounting and are used to reduce the impact of foreign currency on certain balance sheet exposures. These instruments are generally short-term in nature, with typical maturities of less than one year, and are subject to fluctuations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6" w:name="page87"/>
    <w:bookmarkEnd w:id="86"/>
    <w:p>
      <w:pPr>
        <w:ind w:left="340" w:hanging="337"/>
        <w:spacing w:after="0"/>
        <w:tabs>
          <w:tab w:leader="none" w:pos="34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SOFTWARE DEVELOPMENT COSTS AND LICENSES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Details of our capitalized software development costs and licenses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spacing w:after="0"/>
              <w:rPr>
                <w:sz w:val="15"/>
                <w:szCs w:val="15"/>
                <w:color w:val="auto"/>
              </w:rPr>
            </w:pPr>
          </w:p>
        </w:tc>
      </w:tr>
      <w:tr>
        <w:trPr>
          <w:trHeight w:val="22"/>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1"/>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18"/>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development costs, internally developed</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1,845.6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1,237.0</w:t>
            </w:r>
          </w:p>
        </w:tc>
      </w:tr>
      <w:tr>
        <w:trPr>
          <w:trHeight w:val="21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Software development costs, externally developed</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w:t>
            </w: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Licenses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2"/>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Software development costs and licenses</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1,892.6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1,446.5</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firstLine="214"/>
        <w:spacing w:after="0" w:line="287" w:lineRule="auto"/>
        <w:rPr>
          <w:sz w:val="20"/>
          <w:szCs w:val="20"/>
          <w:color w:val="auto"/>
        </w:rPr>
      </w:pPr>
      <w:r>
        <w:rPr>
          <w:rFonts w:ascii="Times New Roman" w:cs="Times New Roman" w:eastAsia="Times New Roman" w:hAnsi="Times New Roman"/>
          <w:sz w:val="17"/>
          <w:szCs w:val="17"/>
          <w:color w:val="auto"/>
        </w:rPr>
        <w:t>Software development costs and licenses, net of current portion as of March 31, 2025 and 2024 included $1,815.0 and $1,433.8, respectively, related to titles that have not been released.</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and impairment of software development costs and licenses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gridSpan w:val="6"/>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w w:val="96"/>
              </w:rPr>
              <w:t>Fiscal Year Ended March 31,</w:t>
            </w:r>
          </w:p>
        </w:tc>
        <w:tc>
          <w:tcPr>
            <w:tcW w:w="110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software development costs and licenses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r>
      <w:tr>
        <w:trPr>
          <w:trHeight w:val="21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Impairment of software development costs and licenses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1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Portion representing stock-based compensation</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2"/>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Amortization and impairment, net of stock-based compensation</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333.8</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292.7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268.3</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7"/>
          <w:szCs w:val="17"/>
          <w:color w:val="auto"/>
        </w:rPr>
        <w:t xml:space="preserve">During the fiscal year ended March 31, 2025, $42.4 of the impairment charges related to a decision not to proceed with further development of certain interactive entertainment software products. The remaining $35.1 of the impairment charges relate to our cost reduction program (refer to </w:t>
      </w:r>
      <w:r>
        <w:rPr>
          <w:rFonts w:ascii="Times New Roman" w:cs="Times New Roman" w:eastAsia="Times New Roman" w:hAnsi="Times New Roman"/>
          <w:sz w:val="17"/>
          <w:szCs w:val="17"/>
          <w:u w:val="single" w:color="auto"/>
          <w:color w:val="0000FF"/>
        </w:rPr>
        <w:t>Note 21 -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Reorganization</w:t>
      </w:r>
      <w:r>
        <w:rPr>
          <w:rFonts w:ascii="Times New Roman" w:cs="Times New Roman" w:eastAsia="Times New Roman" w:hAnsi="Times New Roman"/>
          <w:sz w:val="17"/>
          <w:szCs w:val="17"/>
          <w:color w:val="000000"/>
        </w:rPr>
        <w:t>).</w:t>
      </w:r>
    </w:p>
    <w:p>
      <w:pPr>
        <w:spacing w:after="0" w:line="1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fiscal year ended March 31, 2024, $88.2 of the impairment charges relate to our cost reduction program, the remaining $21.7 related to (i) a decision not to proceed with further development of certain interactive entertainment software products, and (ii) recognizing unamortized capitalized costs for the development of a title that exceed the anticipated net realizable value of the asset at the time they were impaired.</w:t>
      </w:r>
    </w:p>
    <w:p>
      <w:pPr>
        <w:spacing w:after="0" w:line="1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fiscal year ended March 31, 2023, the impairment charges related to (i) a decision not to proceed with further development of certain interactive entertainment software products, and (ii) recognizing unamortized capitalized costs for the development of a title, which were anticipated to exceed the net realizable value of the asset at the time they were impaired.</w:t>
      </w:r>
    </w:p>
    <w:p>
      <w:pPr>
        <w:spacing w:after="0" w:line="8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a result of government grants earned on qualified production spend to date, our software development costs and licenses were reduced by $170.5 and $108.3 as of March 31, 2025 and 2024, respectively. We had $128.1 and $198.5 current receivable within Prepaid expenses and other, and $150.6 and $109.3 non-current receivable within Other assets on our Consolidated Balance Sheets relating to such government grants as of March 31, 2025 and 2024, respectively. Within our Consolidated Statements of Operations, for fiscal years ended March 31, 2025, 2024, and 2023, Cost of revenue, was reduced by $167.4, $45.3, and $41.2, respectively, and Research and development expense was reduced by $43.2, $5.9, and $4.5,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87" w:name="page88"/>
    <w:bookmarkEnd w:id="87"/>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8.</w:t>
        <w:tab/>
        <w:t>FIXED ASSETS, NET</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Fixed asset balances by category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5"/>
                <w:szCs w:val="15"/>
                <w:color w:val="auto"/>
              </w:rPr>
            </w:pPr>
          </w:p>
        </w:tc>
      </w:tr>
      <w:tr>
        <w:trPr>
          <w:trHeight w:val="22"/>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8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software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12"/>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954.9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777.6</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w:t>
            </w:r>
          </w:p>
        </w:tc>
      </w:tr>
      <w:tr>
        <w:trPr>
          <w:trHeight w:val="237"/>
        </w:trPr>
        <w:tc>
          <w:tcPr>
            <w:tcW w:w="8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 net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411.1</w:t>
            </w:r>
          </w:p>
        </w:tc>
      </w:tr>
      <w:tr>
        <w:trPr>
          <w:trHeight w:val="20"/>
        </w:trPr>
        <w:tc>
          <w:tcPr>
            <w:tcW w:w="8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Depreciation expense related to fixed assets for the fiscal years ended March 31, 2025, 2024, and 2023 was $153.9, $135.5, and $88.8,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GOODWILL AND INTANGIBLE ASSETS, NET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change in our goodwill balance is as follows:</w:t>
      </w:r>
    </w:p>
    <w:p>
      <w:pPr>
        <w:spacing w:after="0" w:line="41"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22160" cy="147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3">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2023</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from immaterial acquisitions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47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5">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Gearbox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6">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Impairment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7">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from immaterial acquisitions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63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6148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9">
                      <a:extLst>
                        <a:ext uri="{28A0092B-C50C-407E-A947-70E740481C1C}"/>
                      </a:extLst>
                    </a:blip>
                    <a:srcRect/>
                    <a:stretch>
                      <a:fillRect/>
                    </a:stretch>
                  </pic:blipFill>
                  <pic:spPr bwMode="auto">
                    <a:xfrm>
                      <a:off x="0" y="0"/>
                      <a:ext cx="6148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840" w:hanging="835"/>
        <w:spacing w:after="0"/>
        <w:tabs>
          <w:tab w:leader="none" w:pos="84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6,767.1</w:t>
      </w:r>
    </w:p>
    <w:p>
      <w:pPr>
        <w:spacing w:after="0" w:line="3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(2,342.1)</w:t>
      </w:r>
    </w:p>
    <w:p>
      <w:pPr>
        <w:spacing w:after="0" w:line="23" w:lineRule="exact"/>
        <w:rPr>
          <w:rFonts w:ascii="Times New Roman" w:cs="Times New Roman" w:eastAsia="Times New Roman" w:hAnsi="Times New Roman"/>
          <w:sz w:val="17"/>
          <w:szCs w:val="17"/>
          <w:b w:val="1"/>
          <w:bCs w:val="1"/>
          <w:color w:val="auto"/>
        </w:rPr>
      </w:pPr>
    </w:p>
    <w:p>
      <w:pPr>
        <w:ind w:left="11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9.7</w:t>
      </w:r>
    </w:p>
    <w:p>
      <w:pPr>
        <w:spacing w:after="0" w:line="23" w:lineRule="exact"/>
        <w:rPr>
          <w:rFonts w:ascii="Times New Roman" w:cs="Times New Roman" w:eastAsia="Times New Roman" w:hAnsi="Times New Roman"/>
          <w:sz w:val="17"/>
          <w:szCs w:val="17"/>
          <w:b w:val="1"/>
          <w:bCs w:val="1"/>
          <w:color w:val="auto"/>
        </w:rPr>
      </w:pPr>
    </w:p>
    <w:p>
      <w:pPr>
        <w:ind w:left="10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(8.3)</w:t>
      </w:r>
    </w:p>
    <w:p>
      <w:pPr>
        <w:spacing w:after="0" w:line="29" w:lineRule="exact"/>
        <w:rPr>
          <w:sz w:val="20"/>
          <w:szCs w:val="20"/>
          <w:color w:val="auto"/>
        </w:rPr>
      </w:pPr>
    </w:p>
    <w:p>
      <w:pPr>
        <w:ind w:left="840" w:hanging="835"/>
        <w:spacing w:after="0"/>
        <w:tabs>
          <w:tab w:leader="none" w:pos="8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4,426.4</w:t>
      </w:r>
    </w:p>
    <w:p>
      <w:pPr>
        <w:spacing w:after="0" w:line="31" w:lineRule="exact"/>
        <w:rPr>
          <w:rFonts w:ascii="Times New Roman" w:cs="Times New Roman" w:eastAsia="Times New Roman" w:hAnsi="Times New Roman"/>
          <w:sz w:val="17"/>
          <w:szCs w:val="17"/>
          <w:b w:val="1"/>
          <w:bCs w:val="1"/>
          <w:color w:val="auto"/>
        </w:rPr>
      </w:pPr>
    </w:p>
    <w:p>
      <w:pPr>
        <w:ind w:left="9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192.9</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(3,545.2)</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(15.8)</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3.1</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(4.1)</w:t>
      </w:r>
    </w:p>
    <w:p>
      <w:pPr>
        <w:spacing w:after="0" w:line="29" w:lineRule="exact"/>
        <w:rPr>
          <w:sz w:val="20"/>
          <w:szCs w:val="20"/>
          <w:color w:val="auto"/>
        </w:rPr>
      </w:pPr>
    </w:p>
    <w:p>
      <w:pPr>
        <w:ind w:left="840" w:hanging="835"/>
        <w:spacing w:after="0"/>
        <w:tabs>
          <w:tab w:leader="none" w:pos="8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9086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720"/>
            <w:col w:w="1440"/>
          </w:cols>
          <w:pgMar w:left="320" w:top="1125" w:right="339" w:bottom="1440" w:gutter="0" w:footer="0" w:header="0"/>
          <w:type w:val="continuous"/>
        </w:sectPr>
      </w:pPr>
    </w:p>
    <w:p>
      <w:pPr>
        <w:spacing w:after="0" w:line="98"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As of March 31, 2025, the gross amount of goodwill was $6,944.6 and our accumulated impairments were $5,887.3 for a net carrying amount of $1,057.3. As of March 31, 2024, the gross amount of goodwill was $6,768.5 and our accumulated impairments were $2,342.1 for a net carrying amount of $4,426.4.</w:t>
      </w:r>
    </w:p>
    <w:p>
      <w:pPr>
        <w:spacing w:after="0" w:line="29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the fiscal year ended March 31, 2025, and 2024, we recognized goodwill impairment charges of $3,545.2 and $2,342.1, respectively, representing partial impairments related to one of our reporting units. We identified various qualitative factors that, collectively, indicated that the fair value of one of our reporting units was more likely than not less than its carrying amount, including a reduction in the forecasted performance of the reporting unit due to industry conditions and changes in our strategies for games within the reporting unit in response to those conditions. As a result of this qualitative analysis, we performed a valuation of the reporting unit using discounted cash flow and guideline public company methodologies. Key assumptions and estimates used in deriving the fair value are forecasted revenue, EBITDA margins, long-term growth rate, and discount rate. There were no goodwill impairment charges for the fiscal year ended March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intangibles</w:t>
      </w:r>
    </w:p>
    <w:p>
      <w:pPr>
        <w:spacing w:after="0" w:line="15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Other intangibles, net, as of March 31, 2025, included in-process research and development ("IPR&amp;D") assets of $36.0 acquired as part of the Gearbox acquisition (refer to </w:t>
      </w:r>
      <w:r>
        <w:rPr>
          <w:rFonts w:ascii="Times New Roman" w:cs="Times New Roman" w:eastAsia="Times New Roman" w:hAnsi="Times New Roman"/>
          <w:sz w:val="17"/>
          <w:szCs w:val="17"/>
          <w:u w:val="single" w:color="auto"/>
          <w:color w:val="0000FF"/>
        </w:rPr>
        <w:t>Note 20 - Acquisitions</w:t>
      </w:r>
      <w:r>
        <w:rPr>
          <w:rFonts w:ascii="Times New Roman" w:cs="Times New Roman" w:eastAsia="Times New Roman" w:hAnsi="Times New Roman"/>
          <w:sz w:val="17"/>
          <w:szCs w:val="17"/>
          <w:color w:val="auto"/>
        </w:rPr>
        <w:t>), which are indefinite-lived intangibles and therefore not subject to amortization until the related games are released or development is abandoned, which would result in an impairment.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color w:val="auto"/>
        </w:rPr>
        <w:t>Definite-lived intangibles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the intangible assets that are subject to amortization: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1"/>
                <w:szCs w:val="11"/>
                <w:color w:val="auto"/>
              </w:rPr>
            </w:pPr>
          </w:p>
        </w:tc>
        <w:tc>
          <w:tcPr>
            <w:tcW w:w="10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9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average useful</w:t>
            </w: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10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0" w:type="dxa"/>
            <w:vAlign w:val="bottom"/>
          </w:tcPr>
          <w:p>
            <w:pPr>
              <w:spacing w:after="0"/>
              <w:rPr>
                <w:sz w:val="1"/>
                <w:szCs w:val="1"/>
                <w:color w:val="auto"/>
              </w:rPr>
            </w:pPr>
          </w:p>
        </w:tc>
      </w:tr>
      <w:tr>
        <w:trPr>
          <w:trHeight w:val="217"/>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Game Technology</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3,624.0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(1,781.6)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3,788.8</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2,487.4</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 years</w:t>
            </w:r>
          </w:p>
        </w:tc>
        <w:tc>
          <w:tcPr>
            <w:tcW w:w="0" w:type="dxa"/>
            <w:vAlign w:val="bottom"/>
          </w:tcPr>
          <w:p>
            <w:pPr>
              <w:spacing w:after="0"/>
              <w:rPr>
                <w:sz w:val="1"/>
                <w:szCs w:val="1"/>
                <w:color w:val="auto"/>
              </w:rPr>
            </w:pPr>
          </w:p>
        </w:tc>
      </w:tr>
      <w:tr>
        <w:trPr>
          <w:trHeight w:val="21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Branding and Trade Names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1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12 years</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Game Engine Technology</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 years</w:t>
            </w:r>
          </w:p>
        </w:tc>
        <w:tc>
          <w:tcPr>
            <w:tcW w:w="0" w:type="dxa"/>
            <w:vAlign w:val="bottom"/>
          </w:tcPr>
          <w:p>
            <w:pPr>
              <w:spacing w:after="0"/>
              <w:rPr>
                <w:sz w:val="1"/>
                <w:szCs w:val="1"/>
                <w:color w:val="auto"/>
              </w:rPr>
            </w:pPr>
          </w:p>
        </w:tc>
      </w:tr>
      <w:tr>
        <w:trPr>
          <w:trHeight w:val="21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User Base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0 years</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Developer Relationships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 years</w:t>
            </w:r>
          </w:p>
        </w:tc>
        <w:tc>
          <w:tcPr>
            <w:tcW w:w="0" w:type="dxa"/>
            <w:vAlign w:val="bottom"/>
          </w:tcPr>
          <w:p>
            <w:pPr>
              <w:spacing w:after="0"/>
              <w:rPr>
                <w:sz w:val="1"/>
                <w:szCs w:val="1"/>
                <w:color w:val="auto"/>
              </w:rPr>
            </w:pPr>
          </w:p>
        </w:tc>
      </w:tr>
      <w:tr>
        <w:trPr>
          <w:trHeight w:val="21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Advertising Technology</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0 years</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 years</w:t>
            </w:r>
          </w:p>
        </w:tc>
        <w:tc>
          <w:tcPr>
            <w:tcW w:w="0" w:type="dxa"/>
            <w:vAlign w:val="bottom"/>
          </w:tcPr>
          <w:p>
            <w:pPr>
              <w:spacing w:after="0"/>
              <w:rPr>
                <w:sz w:val="1"/>
                <w:szCs w:val="1"/>
                <w:color w:val="auto"/>
              </w:rPr>
            </w:pPr>
          </w:p>
        </w:tc>
      </w:tr>
      <w:tr>
        <w:trPr>
          <w:trHeight w:val="21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14 years</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 Place Lease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 years</w:t>
            </w:r>
          </w:p>
        </w:tc>
        <w:tc>
          <w:tcPr>
            <w:tcW w:w="0" w:type="dxa"/>
            <w:vAlign w:val="bottom"/>
          </w:tcPr>
          <w:p>
            <w:pPr>
              <w:spacing w:after="0"/>
              <w:rPr>
                <w:sz w:val="1"/>
                <w:szCs w:val="1"/>
                <w:color w:val="auto"/>
              </w:rPr>
            </w:pPr>
          </w:p>
        </w:tc>
      </w:tr>
      <w:tr>
        <w:trPr>
          <w:trHeight w:val="21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Analytics Technology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0 years</w:t>
            </w:r>
          </w:p>
        </w:tc>
        <w:tc>
          <w:tcPr>
            <w:tcW w:w="0" w:type="dxa"/>
            <w:vAlign w:val="bottom"/>
          </w:tcPr>
          <w:p>
            <w:pPr>
              <w:spacing w:after="0"/>
              <w:rPr>
                <w:sz w:val="1"/>
                <w:szCs w:val="1"/>
                <w:color w:val="auto"/>
              </w:rPr>
            </w:pPr>
          </w:p>
        </w:tc>
      </w:tr>
      <w:tr>
        <w:trPr>
          <w:trHeight w:val="237"/>
        </w:trPr>
        <w:tc>
          <w:tcPr>
            <w:tcW w:w="2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060" w:type="dxa"/>
            <w:vAlign w:val="bottom"/>
            <w:gridSpan w:val="22"/>
          </w:tcPr>
          <w:p>
            <w:pPr>
              <w:ind w:left="160"/>
              <w:spacing w:after="0"/>
              <w:rPr>
                <w:sz w:val="20"/>
                <w:szCs w:val="20"/>
                <w:color w:val="auto"/>
              </w:rPr>
            </w:pPr>
            <w:r>
              <w:rPr>
                <w:rFonts w:ascii="Times New Roman" w:cs="Times New Roman" w:eastAsia="Times New Roman" w:hAnsi="Times New Roman"/>
                <w:sz w:val="17"/>
                <w:szCs w:val="17"/>
                <w:color w:val="auto"/>
              </w:rPr>
              <w:t>Amortization of intangible assets, including impairments, is included in our Consolidated Statements of Operations as follows: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814.3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75.5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amortization of intangible assets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922.6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During the fiscal year ended March 31, 2025, we recorded impairment charges of $137.0 for acquisition-related Developed Game Technology intangible assets within Cost of revenue and $39.3 for acquisition-related Branding and Trade Names intangible assets within Depreciation and amortization as a result of a reduction in the forecasted performance of certain games due to industry conditions and changes in our strategies in response to those conditions. During the fiscal year ended March 31, 2024, we recorded impairment charges of $577.4 for acquisition-related Developed Game Technology intangible assets within Cost of revenue as a result of a reduction in the forecasted performance of certain games due to industry conditions and changes in our strategies in response to those conditions. During the fiscal year ended March 31, 2023, we recorded impairment charges of $465.3 for acquisition-related Developed Game Technology intangible assets within Cost of revenue as a result of (i) a reduction in the forecasted performance of certain games due to macroeconomic conditions and changes in our strategies for those games and (ii) our decision not to proceed with further development of a certain interactive entertainment software product. The fair value of Developed Game Technology assets was measured using the multi-period excess earnings method, consistent with the approach used at acquisition. Key assumptions and estimates used in deriving the fair value are forecasted revenue, EBITDA margins, long-term decay rates, and discount rates. The fair value of Branding and Trade Names assets was measured using the relief-from-royalty method, consistent with the approach used at acquisition. Key assumptions and estimates used in deriving the fair value are forecasted revenue, royalty rates, and discount rates.</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Estimated future amortization of intangible assets that will be recorded in Cost of revenue and operating expenses for the years ending March 31,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 Ended March 31,</w:t>
            </w:r>
          </w:p>
        </w:tc>
        <w:tc>
          <w:tcPr>
            <w:tcW w:w="18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12"/>
        </w:trPr>
        <w:tc>
          <w:tcPr>
            <w:tcW w:w="9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593.2</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553.2</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color w:val="auto"/>
        </w:rPr>
        <w:t>10.  ACCRUED EXPENSES AND OTHER CURRENT LIABILITIES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w:t>
      </w:r>
    </w:p>
    <w:p>
      <w:pPr>
        <w:spacing w:after="0" w:line="6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27940</wp:posOffset>
            </wp:positionV>
            <wp:extent cx="18827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3">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pacing w:after="0" w:line="25" w:lineRule="exact"/>
        <w:rPr>
          <w:sz w:val="20"/>
          <w:szCs w:val="20"/>
          <w:color w:val="auto"/>
        </w:rPr>
      </w:pPr>
    </w:p>
    <w:p>
      <w:pPr>
        <w:jc w:val="both"/>
        <w:ind w:left="884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22160" cy="147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4">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Software development royalties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5">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Licenses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Marketing and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6">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Tax payable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7">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acquisition payments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Refund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8">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Sales tax liability</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9">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Settlement accrual</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517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1">
                      <a:extLst>
                        <a:ext uri="{28A0092B-C50C-407E-A947-70E740481C1C}"/>
                      </a:extLst>
                    </a:blip>
                    <a:srcRect/>
                    <a:stretch>
                      <a:fillRect/>
                    </a:stretch>
                  </pic:blipFill>
                  <pic:spPr bwMode="auto">
                    <a:xfrm>
                      <a:off x="0" y="0"/>
                      <a:ext cx="5173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419.8</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413.1</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19"/>
        </w:trPr>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212"/>
        </w:trPr>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1,127.6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1,062.6</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125" w:right="339" w:bottom="1440" w:gutter="0" w:footer="0" w:header="0"/>
          <w:type w:val="continuous"/>
        </w:sect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DEBT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Long-term debt, net on our Consolidated Balance Sheet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Annual Interest Rate</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15"/>
                <w:szCs w:val="15"/>
                <w:color w:val="auto"/>
              </w:rPr>
            </w:pPr>
          </w:p>
        </w:tc>
        <w:tc>
          <w:tcPr>
            <w:tcW w:w="13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Fair Value (Level 2)</w:t>
            </w: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April 14, 2027</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590.8</w:t>
            </w:r>
          </w:p>
        </w:tc>
        <w:tc>
          <w:tcPr>
            <w:tcW w:w="0" w:type="dxa"/>
            <w:vAlign w:val="bottom"/>
          </w:tcPr>
          <w:p>
            <w:pPr>
              <w:spacing w:after="0"/>
              <w:rPr>
                <w:sz w:val="1"/>
                <w:szCs w:val="1"/>
                <w:color w:val="auto"/>
              </w:rPr>
            </w:pP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March 28, 2028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808.5</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June 12, 2029</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w:t>
            </w:r>
          </w:p>
        </w:tc>
        <w:tc>
          <w:tcPr>
            <w:tcW w:w="0" w:type="dxa"/>
            <w:vAlign w:val="bottom"/>
          </w:tcPr>
          <w:p>
            <w:pPr>
              <w:spacing w:after="0"/>
              <w:rPr>
                <w:sz w:val="1"/>
                <w:szCs w:val="1"/>
                <w:color w:val="auto"/>
              </w:rPr>
            </w:pP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2032</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April 14, 2032</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468.6</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2034</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June 12, 2034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0" w:type="dxa"/>
            <w:vAlign w:val="bottom"/>
          </w:tcPr>
          <w:p>
            <w:pPr>
              <w:spacing w:after="0"/>
              <w:rPr>
                <w:sz w:val="1"/>
                <w:szCs w:val="1"/>
                <w:color w:val="auto"/>
              </w:rPr>
            </w:pP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December 15, 2026</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12"/>
        </w:trPr>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4"/>
              </w:rPr>
              <w:t>Total</w:t>
            </w:r>
          </w:p>
        </w:tc>
        <w:tc>
          <w:tcPr>
            <w:tcW w:w="3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2,528.5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2,513.6</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Unamortized discount and issuance costs</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Annual Interest Rate</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24"/>
                <w:szCs w:val="24"/>
                <w:color w:val="auto"/>
              </w:rPr>
            </w:pPr>
          </w:p>
        </w:tc>
        <w:tc>
          <w:tcPr>
            <w:tcW w:w="13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Fair Value (Level 2)</w:t>
            </w: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14, 2025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588.9</w:t>
            </w:r>
          </w:p>
        </w:tc>
        <w:tc>
          <w:tcPr>
            <w:tcW w:w="0" w:type="dxa"/>
            <w:vAlign w:val="bottom"/>
          </w:tcPr>
          <w:p>
            <w:pPr>
              <w:spacing w:after="0"/>
              <w:rPr>
                <w:sz w:val="1"/>
                <w:szCs w:val="1"/>
                <w:color w:val="auto"/>
              </w:rPr>
            </w:pP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March 28, 2026</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547.6</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April 14, 2027</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576.5</w:t>
            </w:r>
          </w:p>
        </w:tc>
        <w:tc>
          <w:tcPr>
            <w:tcW w:w="0" w:type="dxa"/>
            <w:vAlign w:val="bottom"/>
          </w:tcPr>
          <w:p>
            <w:pPr>
              <w:spacing w:after="0"/>
              <w:rPr>
                <w:sz w:val="1"/>
                <w:szCs w:val="1"/>
                <w:color w:val="auto"/>
              </w:rPr>
            </w:pP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March 28, 2028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2032</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April 14, 2032</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462.9</w:t>
            </w:r>
          </w:p>
        </w:tc>
        <w:tc>
          <w:tcPr>
            <w:tcW w:w="0" w:type="dxa"/>
            <w:vAlign w:val="bottom"/>
          </w:tcPr>
          <w:p>
            <w:pPr>
              <w:spacing w:after="0"/>
              <w:rPr>
                <w:sz w:val="1"/>
                <w:szCs w:val="1"/>
                <w:color w:val="auto"/>
              </w:rPr>
            </w:pP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December 15, 2026</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12"/>
        </w:trPr>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4"/>
              </w:rPr>
              <w:t>Total</w:t>
            </w:r>
          </w:p>
        </w:tc>
        <w:tc>
          <w:tcPr>
            <w:tcW w:w="3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Unamortized discount and issuance costs</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90" w:name="page91"/>
    <w:bookmarkEnd w:id="90"/>
    <w:p>
      <w:pPr>
        <w:ind w:left="620"/>
        <w:spacing w:after="0"/>
        <w:rPr>
          <w:sz w:val="20"/>
          <w:szCs w:val="20"/>
          <w:color w:val="auto"/>
        </w:rPr>
      </w:pPr>
      <w:r>
        <w:rPr>
          <w:rFonts w:ascii="Times New Roman" w:cs="Times New Roman" w:eastAsia="Times New Roman" w:hAnsi="Times New Roman"/>
          <w:sz w:val="17"/>
          <w:szCs w:val="17"/>
          <w:color w:val="auto"/>
        </w:rPr>
        <w:t>The components of Short-term debt, net on our Consolidated Balance Sheet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Annual Interest Rate</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15"/>
                <w:szCs w:val="15"/>
                <w:color w:val="auto"/>
              </w:rPr>
            </w:pPr>
          </w:p>
        </w:tc>
        <w:tc>
          <w:tcPr>
            <w:tcW w:w="13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Fair Value (Level 2)</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2"/>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14, 2025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March 28, 2026</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552.7</w:t>
            </w:r>
          </w:p>
        </w:tc>
      </w:tr>
      <w:tr>
        <w:trPr>
          <w:trHeight w:val="212"/>
        </w:trPr>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4"/>
              </w:rPr>
              <w:t>Total</w:t>
            </w:r>
          </w:p>
        </w:tc>
        <w:tc>
          <w:tcPr>
            <w:tcW w:w="3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1,152.6</w:t>
            </w:r>
          </w:p>
        </w:tc>
      </w:tr>
      <w:tr>
        <w:trPr>
          <w:trHeight w:val="219"/>
        </w:trPr>
        <w:tc>
          <w:tcPr>
            <w:tcW w:w="4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Unamortized discount and issuance costs</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37"/>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 net</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426"/>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Annual Interest Rate</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24"/>
                <w:szCs w:val="24"/>
                <w:color w:val="auto"/>
              </w:rPr>
            </w:pPr>
          </w:p>
        </w:tc>
        <w:tc>
          <w:tcPr>
            <w:tcW w:w="13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Fair Value (Level 2)</w:t>
            </w:r>
          </w:p>
        </w:tc>
      </w:tr>
      <w:tr>
        <w:trPr>
          <w:trHeight w:val="22"/>
        </w:trPr>
        <w:tc>
          <w:tcPr>
            <w:tcW w:w="38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2"/>
        </w:trPr>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2024</w:t>
            </w:r>
          </w:p>
        </w:tc>
        <w:tc>
          <w:tcPr>
            <w:tcW w:w="3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1, 2024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2"/>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4"/>
              </w:rPr>
              <w:t>Total</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9"/>
        </w:trPr>
        <w:tc>
          <w:tcPr>
            <w:tcW w:w="4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 and issuance costs</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2"/>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Short-term debt,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interest expense as it relates to our debt is recorded within Interest and other, net in our Consolidated Statements of Operations for the 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ended March 31, 2025, and 2024, respectively, and was as follows: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9"/>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Fiscal Year Ended March 31,</w:t>
            </w: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12"/>
        </w:trPr>
        <w:tc>
          <w:tcPr>
            <w:tcW w:w="4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bottom w:val="single" w:sz="8" w:color="auto"/>
            </w:tcBorders>
          </w:tcPr>
          <w:p>
            <w:pPr>
              <w:spacing w:after="0"/>
              <w:rPr>
                <w:sz w:val="18"/>
                <w:szCs w:val="18"/>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Notes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 Notes</w:t>
            </w:r>
          </w:p>
        </w:tc>
        <w:tc>
          <w:tcPr>
            <w:tcW w:w="8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1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 Notes</w:t>
            </w:r>
          </w:p>
        </w:tc>
        <w:tc>
          <w:tcPr>
            <w:tcW w:w="8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Notes</w:t>
            </w:r>
          </w:p>
        </w:tc>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8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 Notes</w:t>
            </w:r>
          </w:p>
        </w:tc>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1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2034 Notes</w:t>
            </w:r>
          </w:p>
        </w:tc>
        <w:tc>
          <w:tcPr>
            <w:tcW w:w="8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8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156.9</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7"/>
        </w:trPr>
        <w:tc>
          <w:tcPr>
            <w:tcW w:w="792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The following table outlines the aggregate amount of maturities of our borrowings, as of March 31, 2025:</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 Ended March 31,</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Maturities</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w:t>
            </w: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19"/>
        </w:trPr>
        <w:tc>
          <w:tcPr>
            <w:tcW w:w="4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8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12"/>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3,679.4</w:t>
            </w:r>
          </w:p>
        </w:tc>
      </w:tr>
      <w:tr>
        <w:trPr>
          <w:trHeight w:val="219"/>
        </w:trPr>
        <w:tc>
          <w:tcPr>
            <w:tcW w:w="4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Fair Value Adjustments</w:t>
            </w:r>
          </w:p>
        </w:tc>
        <w:tc>
          <w:tcPr>
            <w:tcW w:w="8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2"/>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Face Value</w:t>
            </w:r>
          </w:p>
        </w:tc>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3,678.5</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5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June 12, 2024, we completed our offering and sale of $600.0 aggregate principal amount of our senior notes, consisting of $300.0 principal amount of our 5.400% Senior Notes due 2029 (the "2029 Notes") and $300.0 principal amount of our 5.600% Senior Notes due 2034 (the "2034 Notes"). The 2029 Notes and 2034 Notes (the “New Notes”) were issued as additional notes under the existing Indenture. Debt issuance costs of $5.4 and original issuance discount of $1.1 were incurred in connection with the 2029 and 2034 Senior Notes. These debt issuance costs and original issuance discount are included as a reduction of the debt within Long-term debt, net on our Consolidated Balance Sheet and will be amortized into Interest and other, net in our Consolidated Statements of Operations over the contractual term of the Senior Notes.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1" w:name="page92"/>
    <w:bookmarkEnd w:id="91"/>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April 14, 2023, we completed our offering and sale of $1,000.0 aggregate principal amount of our senior notes, consisting of $500.0 principal amount of our 5.000% Senior Notes due 2026 (the "2026 Notes") and $500.0 principal amount of our 4.950% Senior Notes due 2028 ("the 2028 Notes"). On January 8, 2024, we completed our add-on offering and sale of $350.0 aggregate principal amount of our senior notes, consisting of $50.0 principal amount of additional 2026 Notes and $300.0 principal amount of additional 2028 Notes (the "Add-On Offering Notes").</w:t>
      </w:r>
    </w:p>
    <w:p>
      <w:pPr>
        <w:spacing w:after="0" w:line="9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2025 Notes, 2026 Notes, 2027 Notes, 2028 Notes, 2029 Notes, and 2034 Notes, the "Senior Notes").</w:t>
      </w:r>
    </w:p>
    <w:p>
      <w:pPr>
        <w:spacing w:after="0" w:line="1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Senior Notes were issued under an indenture, dated as of April 14, 2022 (the “Base Indenture”), between the Company and The Bank of New York Mellon, as trustee (the “Trustee”) and (i) a first supplemental indenture, with respect to the 2024 Notes, (ii) a second supplemental indenture, with respect to the 2025 Notes, (iii) a third supplemental indenture, with respect to the 2027 Notes, (iv) a fourth supplemental indenture, with respect to the 2032 Notes, (v) a fifth supplemental indenture, with respect to the 2026 Notes, (vi) a sixth supplemental indenture, with respect to the 2028 Notes, (vii) a seventh supplemental indenture, with respect to the 2029 Notes, and (viii) an eighth supplemental indenture, with respect to the 2034 Notes (collectively, the “Supplemental Indentures” and together with the Base Indenture, the “Indenture”), between the Company and the Trustee.</w:t>
      </w:r>
    </w:p>
    <w:p>
      <w:pPr>
        <w:spacing w:after="0" w:line="10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Senior Notes are the Company’s senior unsecured obligations and rank equally with all of our other existing and future unsubordinated obligations. We will pay interest on the 2026 Notes and 2028 Notes semi-annually on March 28 and September 28 of each year, commencing September 28, 2023. We will pay interest on each of the 2025 Notes, 2027 Notes, and 2032 Notes semi-annually on April 14 and October 14 of each year, commencing October 14, 2022. We will pay interest on each of the 2029 Notes and 2034 Notes semi-annually on June 12 and December 12 of each year, commencing on December 12, 2024. During the fiscal year ended March 31, 2025, we made interest payments of $147.1. The proceeds from the issuances of the Senior Notes in April 2022 were used to finance a portion of our acquisition of Zynga, and the proceeds from the subsequent issuance of Senior Notes were used, or are expected to be used, to repay certain of our debt or for general corporate purposes.</w:t>
      </w:r>
    </w:p>
    <w:p>
      <w:pPr>
        <w:spacing w:after="0" w:line="10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Senior Notes are not entitled to any sinking fund payments. We may redeem each series of the Senior Notes at any time in whole or from time to time in part at the applicable redemption prices set forth in each Supplemental Indenture. Upon the occurrence of a Change of Control Repurchase Event (as defined in each of the Supplemental Indentures) with respect to a series of the Senior Notes, each holder of the Senior Notes of such series will have the right to require the Company to purchase that holder’s Notes of such series at a price equal to 101% of the aggregate principal amount thereof, plus accrued and unpaid interest to, but excluding, the date of repurchase, unless the Company has exercised its option to redeem all the Senior Notes.</w:t>
      </w:r>
    </w:p>
    <w:p>
      <w:pPr>
        <w:spacing w:after="0" w:line="1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the case of an event of default arising from certain events of bankruptcy or insolvency with respect to the Company, all outstanding Senior Notes will become due and payable immediately. If any other event of default specified in the Indenture occurs and is continuing with respect to any series of the Senior Notes, the Trustee or the holders of at least 25% in aggregate principal amount of that series of the outstanding Notes may declare the principal of such series of Senior Notes immediately due and payable.</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Indenture contains certain limitations on the ability of the Company and its subsidiaries to grant liens without equally securing the Senior Notes, or to enter into certain sale and lease-back transactions. These covenants are subject to a number of important exceptions and limitations, as further provided in the Indenture.</w:t>
      </w:r>
    </w:p>
    <w:p>
      <w:pPr>
        <w:spacing w:after="0" w:line="8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fiscal year ended March 31, 2025 and 2024, we recognized $6.1 and $6.2, respectively, of amortization of debt issuance costs and $0.6 and $0.4, respectively, of amortization of the original issuance discount.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of Senior Notes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April 14, 2025, we repaid our 2025 Notes with a principal amount of $600.0, with proceeds from the New Notes.</w:t>
      </w:r>
    </w:p>
    <w:p>
      <w:pPr>
        <w:spacing w:after="0" w:line="14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June 5, 2023, pursuant to a tender offer, we purchased and retired $650.0 in aggregate principal amount of our 2024 Notes, with proceeds received from the 2026 Notes and 2028 Notes. We repaid the remaining principal amount of $350.0 on its maturity date on March 28, 2024, with proceeds received from the Add-On Offering Notes. During the fiscal year ended March 31, 2024, we recognized a debt extinguishment gain of approximately $7.7, net of unamortized debt discount and debt issuance costs recorded within Interest and other, net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May 23, 2022, we entered into a new unsecured credit agreement (as amended,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contained uncommitted incremental capacity permitting the incurrence of up to an additional amount not to exceed the greater of $250.0 and 35.0% of the Company's Consolidated Adjusted EBITDA (as defined in the 2022 Credit Agreement). On May 16, 2024, we increased the total commitments under the facility to $750.0 pursuant to the 2022 Credit Agreement's incremental provisions, leaving no further uncommitted incremental capacity.</w:t>
      </w:r>
    </w:p>
    <w:p>
      <w:pPr>
        <w:spacing w:after="0" w:line="11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Loans under the 2022 Credit Agreement will bear interest at a rate of (a) 0.000% to 0.625% above an alternate base rate (7.50% at March 31, 2025) or (b) 1.000% to 1.625% above Secured Overnight Financing Rate, approximately 4.33% at March 31, 2025, which rates are determined by the Company's credit rating.</w:t>
      </w:r>
    </w:p>
    <w:p>
      <w:pPr>
        <w:spacing w:after="0" w:line="8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2022 Credit Agreement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2022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 On June 6, 2024, we amended the 2022 Credit Agreement in order to increase the maximum leverage ratio thresholds applicable to our financial covenant, which is measured on a quarterly basis.</w:t>
      </w:r>
    </w:p>
    <w:p>
      <w:pPr>
        <w:spacing w:after="0" w:line="10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Upon execution of the 2022 Credit Agreement, we incurred $3.5 of debt issuance costs that were capitalized within Other assets on our Consolidated Balance Sheet and will be amortized on a straight-line basis over the five-year term of the 2022 Credit Agreement, with the expense recorded within Interest and other, net in our Consolidated Statements of Operations. During the fiscal year ended March 31, 2025, and 2024, we amortized $0.7 and $0.7, respectively, of these debt issuance costs.</w:t>
      </w:r>
    </w:p>
    <w:p>
      <w:pPr>
        <w:spacing w:after="0" w:line="10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As of March 31, 2025, there were no borrowings under the 2022 Credit Agreement, and we had approximately $747.8 available for additional borrowings.</w:t>
      </w: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related to availability on our 2022 Credit Agreement for each period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
        </w:trPr>
        <w:tc>
          <w:tcPr>
            <w:tcW w:w="8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borrowings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497.7</w:t>
            </w:r>
          </w:p>
        </w:tc>
      </w:tr>
      <w:tr>
        <w:trPr>
          <w:trHeight w:val="22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letters of credit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June 22, 2022, we entered into an unsecured 364-Day Term Loan Credit Agreement ("Term Loan"). The Term Loan provided for an unsecured 364-day term loan credit facility in the aggregate principal amount of $350.0, maturing on June 21, 2023. We fully drew down on the Term Loan on June 22, 2022 at approximately 3.60%. The proceeds were used to finance a portion of the repurchase of the Convertible Notes (see below). A portion of the proceeds from the April 14, 2023 issuance of the 2026 Notes and 2028 Notes were used to fully repay the Term Loan on April 27,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5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conjunction with the acquisition of Zynga on May 23, 2022 we entered into (a) the First Supplemental Indenture (the “2024 Supplemental Indenture”) to the Indenture, dated as of June 14, 2019 (the “2024 Indenture”), between Zynga and Computershare Trust Company, N.A. (as successor to Wells Fargo Bank, National Association) (the “Convertible Notes Trustee”), relating to Zynga’s 0.25% Convertible Senior Notes due 2024 (the “2024 Convertible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Convertible Notes Trustee, relating to Zynga’s 0.00% Convertible Senior Notes due 2026 (the “2026 Convertible Notes” and, together with the 2024 Convertible Notes, the “Convertible Notes”). As of the closing date of the acquisition, approximately $690.0 aggregate principal amount of the 2024 Convertible Notes was outstanding and approximately $874.5 aggregate principal amount of the 2026 Convertible Notes was outstanding.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93" w:name="page94"/>
    <w:bookmarkEnd w:id="93"/>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Following the acquisition and according to the Supplemental Indentures, we assumed all of Zynga’s rights and obligations under the Indentures, and the Company guaranteed the payment and other obligations of Zynga under the Convertible Notes. As a result of our acquisition of Zynga, the right to convert each one thousand dollar principal amount of such Convertible Notes into shares of Zynga common stock was changed into a right to convert such principal amount of such Convertible Notes into the number of units of Reference Property equal to the conversion rate in effect immediately prior to the closing, in each case pursuant to the terms and procedures set forth in the applicable Indenture. A unit of Reference Property is defined in each Indenture as 0.0406 shares of Take-Two common stock and $3.50 in cash, without interest, plus cash in lieu of any fractional shares of Take-Two common stock.</w:t>
      </w:r>
    </w:p>
    <w:p>
      <w:pPr>
        <w:spacing w:after="0" w:line="9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acquisition of Zynga constituted a Fundamental Change, a Make-Whole Fundamental Change, and a Share Exchange Event (each as defined in the Indentures) under the Indentures. The effective date of the Fundamental Change, Make-Whole Fundamental Change and Share Exchange Event in respect of the Convertible Notes was May 23, 2022, and the related tender and conversion periods expired on June 22, 2022. As a result, each holder of Convertible Notes had the right to tender its Convertible Notes to the Company for cash or surrender its Convertible Notes for conversion into the Reference Property at the applicable conversion rate, in each case pursuant to the terms and procedures set forth in the applicable Indenture.</w:t>
      </w:r>
    </w:p>
    <w:p>
      <w:pPr>
        <w:spacing w:after="0" w:line="1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of the expiration of the Fundamental Change, Make-Whole Fundamental Change, and Share Exchange Event, (a) $0.3 aggregate principal amount of the 2024 Convertible Notes and (b) $845.1 aggregate principal amount of the 2026 Convertible Notes were tendered for cash. In addition, (a) $668.3 aggregate principal amount of the 2024 Convertible Notes, and (b) no 2026 Convertible Notes were surrendered for conversion into the applicable Reference Property.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and after giving effect to the maturity of the 2024 Convertible Notes described below, no 2024 Convertible Notes remained outstanding and $29.4 aggregate principal amount of the 2026 Convertible Notes remained outstanding at March 31, 2025.</w:t>
      </w:r>
    </w:p>
    <w:p>
      <w:pPr>
        <w:spacing w:after="0" w:line="1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2026 Convertible Notes constitute senior unsecured indebtedness of Zynga, ranking pari passu with all of our other existing and future senior unsecured unsubordinated obligations of Zynga. As a result, the 2026 Convertible Notes are structurally senior to the indebtedness of the Company as to Zynga, its subsidiaries, and their respective assets. As noted above, the Company also guaranteed the payment and other obligations of Zynga under the Convertible Notes. The Company's guarantees of the 2026 Convertible Notes are the Company's senior unsecured obligations and rank equally with all of the Company's other existing and future senior unsecured unsubordinated obligations.</w:t>
      </w:r>
    </w:p>
    <w:p>
      <w:pPr>
        <w:spacing w:after="0" w:line="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the terms of the applicable Indentures, prior to the close of business on the business day immediately preceding September 15, 2026 with respect to the 2026 Convertible Notes, the Convertible Notes will be convertible only under the following circumstances:</w:t>
      </w:r>
    </w:p>
    <w:p>
      <w:pPr>
        <w:spacing w:after="0" w:line="87" w:lineRule="exact"/>
        <w:rPr>
          <w:sz w:val="20"/>
          <w:szCs w:val="20"/>
          <w:color w:val="auto"/>
        </w:rPr>
      </w:pPr>
    </w:p>
    <w:p>
      <w:pPr>
        <w:jc w:val="both"/>
        <w:ind w:left="780" w:hanging="158"/>
        <w:spacing w:after="0" w:line="270" w:lineRule="auto"/>
        <w:tabs>
          <w:tab w:leader="none" w:pos="89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if the value of a unit of Reference Property (based on the last reported sales price of our common stock), for at least 20 trading days in a period of 30 consecutive trading days ending on the last trading day of the immediately preceding calendar quarter is greater than or equal to 130% of the conversion price of the applicable series of the 2026 Convertible Notes, respectively, on each applicable trading day;</w:t>
      </w:r>
    </w:p>
    <w:p>
      <w:pPr>
        <w:spacing w:after="0" w:line="100" w:lineRule="exact"/>
        <w:rPr>
          <w:rFonts w:ascii="Times New Roman" w:cs="Times New Roman" w:eastAsia="Times New Roman" w:hAnsi="Times New Roman"/>
          <w:sz w:val="17"/>
          <w:szCs w:val="17"/>
          <w:color w:val="auto"/>
        </w:rPr>
      </w:pPr>
    </w:p>
    <w:p>
      <w:pPr>
        <w:jc w:val="both"/>
        <w:ind w:left="780" w:hanging="158"/>
        <w:spacing w:after="0" w:line="264" w:lineRule="auto"/>
        <w:tabs>
          <w:tab w:leader="none" w:pos="88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business-day period after any five consecutive trading-day period in which the trading price per one thousand dollar principal amount of each applicable series of the 2026 Convertible Notes for such trading day was less than 98% of the product of the value of a unit of Reference Property (based on the last reported sale price of our common stock) and the conversion rate of the applicable series of the 2026 Convertible Notes, on each such trading day;</w:t>
      </w:r>
    </w:p>
    <w:p>
      <w:pPr>
        <w:spacing w:after="0" w:line="93" w:lineRule="exact"/>
        <w:rPr>
          <w:rFonts w:ascii="Times New Roman" w:cs="Times New Roman" w:eastAsia="Times New Roman" w:hAnsi="Times New Roman"/>
          <w:sz w:val="17"/>
          <w:szCs w:val="17"/>
          <w:color w:val="auto"/>
        </w:rPr>
      </w:pPr>
    </w:p>
    <w:p>
      <w:pPr>
        <w:ind w:left="780" w:hanging="158"/>
        <w:spacing w:after="0" w:line="287"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call the 2026 Convertible Notes for redemption, at any time prior to the close of business on the second scheduled trading day immediately preceding the respective redemption date; or</w:t>
      </w:r>
    </w:p>
    <w:p>
      <w:pPr>
        <w:spacing w:after="0" w:line="86"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 described in the respective Indentures.</w:t>
      </w:r>
    </w:p>
    <w:p>
      <w:pPr>
        <w:spacing w:after="0" w:line="15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Upon any conversion, holders will receive either cash or a combination of cash and shares of Take-Two common stock, at our election. As of March 31, 2025, the conditions allowing holders of the 2026 Convertible Notes to convert their series of the Convertible Notes have not been met, and, therefore, they are not yet convertible.</w:t>
      </w:r>
    </w:p>
    <w:p>
      <w:pPr>
        <w:spacing w:after="0" w:line="8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elected to account for these Convertible Notes, which are considered derivatives, using the fair value option (Level 2) under ASC 825, as the Convertible Notes were initially recognized at fair value under the acquisition method of accounting in connection with the Zynga acquisition and we do not expect significant fluctuations in fair value through maturity. We initially recorded $778.6 as the acquisition date fair value for the 2024 Convertible Notes and $874.5 for the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t>Convertible Notes. The fair value was determined as the expected cash payment and value of shares to be issued to settle the Convertible Notes.</w:t>
      </w:r>
    </w:p>
    <w:p>
      <w:pPr>
        <w:spacing w:after="0" w:line="14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2024 Convertible Notes matured on June 1, 2024. During the fiscal year ended March 31, 2025, we paid $8.3 for converted 2024 Convertible Notes, including interest, and we issued 0.1 shares of our common stock upon conversion of the 2024 Convertible Notes.</w:t>
      </w:r>
    </w:p>
    <w:p>
      <w:pPr>
        <w:spacing w:after="0" w:line="8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2026 Convertible Notes mature on December 15, 2026, unless earlier converted, redeemed, or repurchased in accordance with their terms, prior to the maturity date. The 2026 Convertible Notes do not bear regular interest, and the principal amount does not accrete. An aggregate principal amount of $29.4 of the 2026 Convertible Notes remained outstanding at March 31, 2025. We recorded $28.5 as the fair value of the remaining outstanding 2026 Convertible Notes, within Long-term debt, net, in our Consolidated Balance Sheet. During the fiscal year ended March 31, 2025 and 2024, we recognized a loss of $2.3 and a loss of $6.4, respectively, within Loss on fair value adjustments, net in our Consolidated Statements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LOSS PER SHARE</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loss per share: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6"/>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Computation of Basic loss per share: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(4,478.9)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(3,744.2)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w:t>
            </w: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w:t>
            </w:r>
          </w:p>
        </w:tc>
      </w:tr>
      <w:tr>
        <w:trPr>
          <w:trHeight w:val="227"/>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Basic loss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r>
    </w:tbl>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incurred a net loss for the fiscal year ended March 31, 2025, 2024, and 2023; therefore, the diluted weighted average shares outstanding excludes the effect of unvested common stock equivalents because their effect would be antidilutive. For the fiscal year ended March 31, 2025, we had 2.3 potentially dilutive shares from share-based awards and 0.1 of shares from Convertible Notes that are excluded due to the net loss for the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157" w:lineRule="exact"/>
        <w:rPr>
          <w:sz w:val="20"/>
          <w:szCs w:val="20"/>
          <w:color w:val="auto"/>
        </w:rPr>
      </w:pPr>
    </w:p>
    <w:p>
      <w:pPr>
        <w:jc w:val="both"/>
        <w:ind w:firstLine="199"/>
        <w:spacing w:after="0" w:line="264" w:lineRule="auto"/>
        <w:rPr>
          <w:sz w:val="20"/>
          <w:szCs w:val="20"/>
          <w:color w:val="auto"/>
        </w:rPr>
      </w:pPr>
      <w:r>
        <w:rPr>
          <w:rFonts w:ascii="Times New Roman" w:cs="Times New Roman" w:eastAsia="Times New Roman" w:hAnsi="Times New Roman"/>
          <w:sz w:val="17"/>
          <w:szCs w:val="17"/>
          <w:color w:val="auto"/>
        </w:rPr>
        <w:t>Our lease arrangements are primarily for (1) corporate, administrative, and development studio offices and (2) data centers and server equipment. Our existing leases have remaining lease terms ranging from one to thirteen years. In certain instances, such leases include one or more options to renew, with renewal terms that generally extend the lease term by one to five years for each option. The exercise of lease renewal options is generally at our sole discretion. Additionally, the majority of our leases are classified as operating leases.</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related to our operating leases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Fiscal Year Ended March 31,</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6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9"/>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Operating lease costs</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r>
      <w:tr>
        <w:trPr>
          <w:trHeight w:val="219"/>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Short-term lease costs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bl>
    <w:p>
      <w:pPr>
        <w:spacing w:after="0" w:line="20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During the fiscal year ended March 31, 2025, we recognized $3.9 of impairment charges for office closures related to our cost reduction program (refer to </w:t>
      </w:r>
      <w:r>
        <w:rPr>
          <w:rFonts w:ascii="Times New Roman" w:cs="Times New Roman" w:eastAsia="Times New Roman" w:hAnsi="Times New Roman"/>
          <w:sz w:val="17"/>
          <w:szCs w:val="17"/>
          <w:u w:val="single" w:color="auto"/>
          <w:color w:val="0000FF"/>
        </w:rPr>
        <w:t>Note 21 - Business Reorganization</w:t>
      </w:r>
      <w:r>
        <w:rPr>
          <w:rFonts w:ascii="Times New Roman" w:cs="Times New Roman" w:eastAsia="Times New Roman" w:hAnsi="Times New Roman"/>
          <w:sz w:val="17"/>
          <w:szCs w:val="17"/>
          <w:color w:val="000000"/>
        </w:rPr>
        <w:t>). There were no impairment charges during the fiscal year ended March 31, 2024.</w:t>
      </w:r>
    </w:p>
    <w:p>
      <w:pPr>
        <w:spacing w:after="0" w:line="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fiscal year ended March 31, 2023, we recognized a $30.0 impairment loss related to an ROU asset related to Zynga's office space lease in San Francisco, which is available for sublease and not currently used by us due to the continued deterioration of the sublease market, unsuccessful negotiations with a potential sub-tenant, and our decision to change our sublease marketing strategy. This impairment loss is included in General and administrative expense within our Consolidated Statement of Operations and in the Operating lease costs in the table above.</w:t>
      </w:r>
    </w:p>
    <w:p>
      <w:pPr>
        <w:spacing w:after="0" w:line="10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The fair value of the San Francisco Office was estimated using a risk-adjusted, discounted cash flow model with Level 3 inputs. The significant assumptions used in estimating the fair value included the projected sublease income over the remaining lease term, expected downtime prior to the commencement of future subleases, expected rent concessions offered to future tenants and discount rates that reflected the level of risk associated with these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 Ended March 31,</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1"/>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060" w:type="dxa"/>
            <w:vAlign w:val="bottom"/>
            <w:tcBorders>
              <w:top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0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operating cash flow information</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9"/>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400" w:type="dxa"/>
            <w:vAlign w:val="bottom"/>
            <w:gridSpan w:val="3"/>
          </w:tcPr>
          <w:p>
            <w:pPr>
              <w:jc w:val="right"/>
              <w:ind w:right="11"/>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87.1</w:t>
            </w:r>
          </w:p>
        </w:tc>
        <w:tc>
          <w:tcPr>
            <w:tcW w:w="1000" w:type="dxa"/>
            <w:vAlign w:val="bottom"/>
            <w:gridSpan w:val="2"/>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19"/>
        </w:trPr>
        <w:tc>
          <w:tcPr>
            <w:tcW w:w="5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ROU assets obtained in exchange for lease obligations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r>
      <w:tr>
        <w:trPr>
          <w:trHeight w:val="274"/>
        </w:trPr>
        <w:tc>
          <w:tcPr>
            <w:tcW w:w="4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1"/>
        </w:trPr>
        <w:tc>
          <w:tcPr>
            <w:tcW w:w="40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information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9"/>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Remaining lease term</w:t>
            </w:r>
          </w:p>
        </w:tc>
        <w:tc>
          <w:tcPr>
            <w:tcW w:w="2280" w:type="dxa"/>
            <w:vAlign w:val="bottom"/>
            <w:gridSpan w:val="5"/>
          </w:tcPr>
          <w:p>
            <w:pPr>
              <w:jc w:val="right"/>
              <w:ind w:right="811"/>
              <w:spacing w:after="0"/>
              <w:rPr>
                <w:sz w:val="20"/>
                <w:szCs w:val="20"/>
                <w:color w:val="auto"/>
              </w:rPr>
            </w:pPr>
            <w:r>
              <w:rPr>
                <w:rFonts w:ascii="Times New Roman" w:cs="Times New Roman" w:eastAsia="Times New Roman" w:hAnsi="Times New Roman"/>
                <w:sz w:val="17"/>
                <w:szCs w:val="17"/>
                <w:b w:val="1"/>
                <w:bCs w:val="1"/>
                <w:color w:val="auto"/>
              </w:rPr>
              <w:t>7.91 years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8.40 years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 years</w:t>
            </w:r>
          </w:p>
        </w:tc>
      </w:tr>
      <w:tr>
        <w:trPr>
          <w:trHeight w:val="219"/>
        </w:trPr>
        <w:tc>
          <w:tcPr>
            <w:tcW w:w="5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4.75 %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4.33 %</w:t>
            </w:r>
          </w:p>
        </w:tc>
      </w:tr>
    </w:tbl>
    <w:p>
      <w:pPr>
        <w:spacing w:after="0" w:line="21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Future undiscounted lease payments for our operating lease liabilities, and a reconciliation of these payments to our operating lease liabilities at March 31, 2025,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March 31,</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
        </w:trPr>
        <w:tc>
          <w:tcPr>
            <w:tcW w:w="8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r>
      <w:tr>
        <w:trPr>
          <w:trHeight w:val="219"/>
        </w:trPr>
        <w:tc>
          <w:tcPr>
            <w:tcW w:w="8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19"/>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19"/>
        </w:trPr>
        <w:tc>
          <w:tcPr>
            <w:tcW w:w="8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19"/>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19"/>
        </w:trPr>
        <w:tc>
          <w:tcPr>
            <w:tcW w:w="9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Thereafter</w:t>
            </w:r>
          </w:p>
        </w:tc>
        <w:tc>
          <w:tcPr>
            <w:tcW w:w="9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w:t>
            </w:r>
          </w:p>
        </w:tc>
      </w:tr>
      <w:tr>
        <w:trPr>
          <w:trHeight w:val="212"/>
        </w:trPr>
        <w:tc>
          <w:tcPr>
            <w:tcW w:w="8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533.6</w:t>
            </w:r>
          </w:p>
        </w:tc>
      </w:tr>
      <w:tr>
        <w:trPr>
          <w:trHeight w:val="212"/>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w:t>
            </w:r>
          </w:p>
        </w:tc>
      </w:tr>
      <w:tr>
        <w:trPr>
          <w:trHeight w:val="237"/>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444.8</w:t>
            </w:r>
          </w:p>
        </w:tc>
      </w:tr>
      <w:tr>
        <w:trPr>
          <w:trHeight w:val="20"/>
        </w:trPr>
        <w:tc>
          <w:tcPr>
            <w:tcW w:w="8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we have entered into facility leases that have not yet commenced with future lease payments of approximately $3.0. These leases are expected to commence within the next twelve months and will have lease terms ranging from two to four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annual   minimum   contractual   obligations</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and   commitments   as</w:t>
            </w: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of</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March</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31,   2025</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is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as   follows:</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March 31,</w:t>
            </w: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12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and Licensing</w:t>
            </w: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Obligations</w:t>
            </w:r>
          </w:p>
        </w:tc>
        <w:tc>
          <w:tcPr>
            <w:tcW w:w="4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231.4</w:t>
            </w:r>
          </w:p>
        </w:tc>
        <w:tc>
          <w:tcPr>
            <w:tcW w:w="0" w:type="dxa"/>
            <w:vAlign w:val="bottom"/>
          </w:tcPr>
          <w:p>
            <w:pPr>
              <w:spacing w:after="0"/>
              <w:rPr>
                <w:sz w:val="1"/>
                <w:szCs w:val="1"/>
                <w:color w:val="auto"/>
              </w:rPr>
            </w:pPr>
          </w:p>
        </w:tc>
      </w:tr>
      <w:tr>
        <w:trPr>
          <w:trHeight w:val="219"/>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152.2</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w:t>
            </w:r>
          </w:p>
        </w:tc>
        <w:tc>
          <w:tcPr>
            <w:tcW w:w="0" w:type="dxa"/>
            <w:vAlign w:val="bottom"/>
          </w:tcPr>
          <w:p>
            <w:pPr>
              <w:spacing w:after="0"/>
              <w:rPr>
                <w:sz w:val="1"/>
                <w:szCs w:val="1"/>
                <w:color w:val="auto"/>
              </w:rPr>
            </w:pPr>
          </w:p>
        </w:tc>
      </w:tr>
      <w:tr>
        <w:trPr>
          <w:trHeight w:val="219"/>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0" w:type="dxa"/>
            <w:vAlign w:val="bottom"/>
          </w:tcPr>
          <w:p>
            <w:pPr>
              <w:spacing w:after="0"/>
              <w:rPr>
                <w:sz w:val="1"/>
                <w:szCs w:val="1"/>
                <w:color w:val="auto"/>
              </w:rPr>
            </w:pPr>
          </w:p>
        </w:tc>
      </w:tr>
      <w:tr>
        <w:trPr>
          <w:trHeight w:val="219"/>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7"/>
        </w:trPr>
        <w:tc>
          <w:tcPr>
            <w:tcW w:w="2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452.1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Software Development and Licensing Agreements: </w:t>
      </w:r>
      <w:r>
        <w:rPr>
          <w:rFonts w:ascii="Times New Roman" w:cs="Times New Roman" w:eastAsia="Times New Roman" w:hAnsi="Times New Roman"/>
          <w:sz w:val="17"/>
          <w:szCs w:val="17"/>
          <w:color w:val="auto"/>
        </w:rPr>
        <w:t>We make payments to third-party software developers that include contractual payments to developers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several software development agreements that expire at various times.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100" w:lineRule="exact"/>
        <w:rPr>
          <w:sz w:val="20"/>
          <w:szCs w:val="20"/>
          <w:color w:val="auto"/>
        </w:rPr>
      </w:pPr>
    </w:p>
    <w:p>
      <w:pPr>
        <w:jc w:val="both"/>
        <w:ind w:firstLine="218"/>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Marketing Agreements: </w:t>
      </w:r>
      <w:r>
        <w:rPr>
          <w:rFonts w:ascii="Times New Roman" w:cs="Times New Roman" w:eastAsia="Times New Roman" w:hAnsi="Times New Roman"/>
          <w:sz w:val="17"/>
          <w:szCs w:val="17"/>
          <w:color w:val="auto"/>
        </w:rPr>
        <w:t>We have certain minimum marketing support commitments where we commit to spend specified amounts related to marketing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Marketing commitments expire at various times and primarily reflect our agreements with major sports leagues and players' associations.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6" w:name="page97"/>
    <w:bookmarkEnd w:id="96"/>
    <w:p>
      <w:pPr>
        <w:jc w:val="both"/>
        <w:ind w:firstLine="18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Purchase Obligations: </w:t>
      </w:r>
      <w:r>
        <w:rPr>
          <w:rFonts w:ascii="Times New Roman" w:cs="Times New Roman" w:eastAsia="Times New Roman" w:hAnsi="Times New Roman"/>
          <w:sz w:val="17"/>
          <w:szCs w:val="17"/>
          <w:color w:val="auto"/>
        </w:rPr>
        <w:t>These obligations are primarily related to agreements to purchase services that are enforceable and legally binding on us that specifies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significant terms, including fixed, minimum or variable pricing provisions; and the approximate timing of the transactions, expiring at various times.</w:t>
      </w:r>
    </w:p>
    <w:p>
      <w:pPr>
        <w:spacing w:after="0" w:line="6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Employee Savings Plans: </w:t>
      </w:r>
      <w:r>
        <w:rPr>
          <w:rFonts w:ascii="Times New Roman" w:cs="Times New Roman" w:eastAsia="Times New Roman" w:hAnsi="Times New Roman"/>
          <w:sz w:val="17"/>
          <w:szCs w:val="17"/>
          <w:color w:val="auto"/>
        </w:rPr>
        <w:t>For our U.S. employees we maintain a 401(k) retirement savings plan and trust. Our 401(k) plan is offered to all eligible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participants may make voluntary contributions. We also have various pension plans for our non-U.S. employees, some of which are required by local laws, and allow or require employer contributions. Employer contributions under all defined contribution and pension plans during the fiscal years ended March 31, 2025, 2024, and 2023 were $51.4, $43.0, and $36.1, respectively.</w:t>
      </w:r>
    </w:p>
    <w:p>
      <w:pPr>
        <w:spacing w:after="0" w:line="100" w:lineRule="exact"/>
        <w:rPr>
          <w:sz w:val="20"/>
          <w:szCs w:val="20"/>
          <w:color w:val="auto"/>
        </w:rPr>
      </w:pPr>
    </w:p>
    <w:p>
      <w:pPr>
        <w:jc w:val="both"/>
        <w:ind w:firstLine="172"/>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Legal and Other Proceedings: </w:t>
      </w:r>
      <w:r>
        <w:rPr>
          <w:rFonts w:ascii="Times New Roman" w:cs="Times New Roman" w:eastAsia="Times New Roman" w:hAnsi="Times New Roman"/>
          <w:sz w:val="17"/>
          <w:szCs w:val="17"/>
          <w:color w:val="auto"/>
        </w:rPr>
        <w:t>We are, or may become, subject to demands and claims (including intellectual property and employment related claims) and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Components of Loss before income taxes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80" w:type="dxa"/>
            <w:vAlign w:val="bottom"/>
            <w:gridSpan w:val="6"/>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6"/>
              </w:rPr>
              <w:t>Fiscal Year Ended March 31,</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6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(2,471.1)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w:t>
            </w:r>
          </w:p>
        </w:tc>
        <w:tc>
          <w:tcPr>
            <w:tcW w:w="40" w:type="dxa"/>
            <w:vAlign w:val="bottom"/>
          </w:tcPr>
          <w:p>
            <w:pPr>
              <w:spacing w:after="0"/>
              <w:rPr>
                <w:sz w:val="18"/>
                <w:szCs w:val="18"/>
                <w:color w:val="auto"/>
              </w:rPr>
            </w:pP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(401.1)</w:t>
            </w:r>
          </w:p>
        </w:tc>
        <w:tc>
          <w:tcPr>
            <w:tcW w:w="40" w:type="dxa"/>
            <w:vAlign w:val="bottom"/>
          </w:tcPr>
          <w:p>
            <w:pPr>
              <w:spacing w:after="0"/>
              <w:rPr>
                <w:sz w:val="19"/>
                <w:szCs w:val="19"/>
                <w:color w:val="auto"/>
              </w:rPr>
            </w:pPr>
          </w:p>
        </w:tc>
      </w:tr>
      <w:tr>
        <w:trPr>
          <w:trHeight w:val="237"/>
        </w:trPr>
        <w:tc>
          <w:tcPr>
            <w:tcW w:w="6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(4,491.3)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(1,338.1)</w:t>
            </w:r>
          </w:p>
        </w:tc>
        <w:tc>
          <w:tcPr>
            <w:tcW w:w="40" w:type="dxa"/>
            <w:vAlign w:val="bottom"/>
          </w:tcPr>
          <w:p>
            <w:pPr>
              <w:spacing w:after="0"/>
              <w:rPr>
                <w:sz w:val="20"/>
                <w:szCs w:val="20"/>
                <w:color w:val="auto"/>
              </w:rPr>
            </w:pP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69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(Benefit from) provision for current and deferred income taxes consists of the following:</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80" w:type="dxa"/>
            <w:vAlign w:val="bottom"/>
            <w:gridSpan w:val="6"/>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6"/>
              </w:rPr>
              <w:t>Fiscal Year Ended March 31,</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6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U.S. federal</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46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40" w:type="dxa"/>
            <w:vAlign w:val="bottom"/>
          </w:tcPr>
          <w:p>
            <w:pPr>
              <w:spacing w:after="0"/>
              <w:rPr>
                <w:sz w:val="19"/>
                <w:szCs w:val="19"/>
                <w:color w:val="auto"/>
              </w:rPr>
            </w:pPr>
          </w:p>
        </w:tc>
      </w:tr>
      <w:tr>
        <w:trPr>
          <w:trHeight w:val="21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state and local</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9"/>
                <w:szCs w:val="19"/>
                <w:color w:val="auto"/>
              </w:rPr>
            </w:pPr>
          </w:p>
        </w:tc>
      </w:tr>
      <w:tr>
        <w:trPr>
          <w:trHeight w:val="21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40" w:type="dxa"/>
            <w:vAlign w:val="bottom"/>
          </w:tcPr>
          <w:p>
            <w:pPr>
              <w:spacing w:after="0"/>
              <w:rPr>
                <w:sz w:val="19"/>
                <w:szCs w:val="19"/>
                <w:color w:val="auto"/>
              </w:rPr>
            </w:pPr>
          </w:p>
        </w:tc>
      </w:tr>
      <w:tr>
        <w:trPr>
          <w:trHeight w:val="212"/>
        </w:trPr>
        <w:tc>
          <w:tcPr>
            <w:tcW w:w="6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income taxes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40" w:type="dxa"/>
            <w:vAlign w:val="bottom"/>
          </w:tcPr>
          <w:p>
            <w:pPr>
              <w:spacing w:after="0"/>
              <w:rPr>
                <w:sz w:val="18"/>
                <w:szCs w:val="18"/>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federal</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40" w:type="dxa"/>
            <w:vAlign w:val="bottom"/>
          </w:tcPr>
          <w:p>
            <w:pPr>
              <w:spacing w:after="0"/>
              <w:rPr>
                <w:sz w:val="19"/>
                <w:szCs w:val="19"/>
                <w:color w:val="auto"/>
              </w:rPr>
            </w:pPr>
          </w:p>
        </w:tc>
      </w:tr>
      <w:tr>
        <w:trPr>
          <w:trHeight w:val="21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U.S. state and local</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40" w:type="dxa"/>
            <w:vAlign w:val="bottom"/>
          </w:tcPr>
          <w:p>
            <w:pPr>
              <w:spacing w:after="0"/>
              <w:rPr>
                <w:sz w:val="19"/>
                <w:szCs w:val="19"/>
                <w:color w:val="auto"/>
              </w:rPr>
            </w:pPr>
          </w:p>
        </w:tc>
      </w:tr>
      <w:tr>
        <w:trPr>
          <w:trHeight w:val="21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w:t>
            </w:r>
          </w:p>
        </w:tc>
        <w:tc>
          <w:tcPr>
            <w:tcW w:w="40" w:type="dxa"/>
            <w:vAlign w:val="bottom"/>
          </w:tcPr>
          <w:p>
            <w:pPr>
              <w:spacing w:after="0"/>
              <w:rPr>
                <w:sz w:val="19"/>
                <w:szCs w:val="19"/>
                <w:color w:val="auto"/>
              </w:rPr>
            </w:pPr>
          </w:p>
        </w:tc>
      </w:tr>
      <w:tr>
        <w:trPr>
          <w:trHeight w:val="212"/>
        </w:trPr>
        <w:tc>
          <w:tcPr>
            <w:tcW w:w="6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taxes</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(139.1)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(384.9)</w:t>
            </w:r>
          </w:p>
        </w:tc>
        <w:tc>
          <w:tcPr>
            <w:tcW w:w="40" w:type="dxa"/>
            <w:vAlign w:val="bottom"/>
          </w:tcPr>
          <w:p>
            <w:pPr>
              <w:spacing w:after="0"/>
              <w:rPr>
                <w:sz w:val="18"/>
                <w:szCs w:val="18"/>
                <w:color w:val="auto"/>
              </w:rPr>
            </w:pPr>
          </w:p>
        </w:tc>
      </w:tr>
      <w:tr>
        <w:trPr>
          <w:trHeight w:val="237"/>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40" w:type="dxa"/>
            <w:vAlign w:val="bottom"/>
          </w:tcPr>
          <w:p>
            <w:pPr>
              <w:spacing w:after="0"/>
              <w:rPr>
                <w:sz w:val="20"/>
                <w:szCs w:val="20"/>
                <w:color w:val="auto"/>
              </w:rPr>
            </w:pP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39"/>
        </w:trPr>
        <w:tc>
          <w:tcPr>
            <w:tcW w:w="680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6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97" w:name="page98"/>
    <w:bookmarkEnd w:id="97"/>
    <w:p>
      <w:pPr>
        <w:ind w:left="160"/>
        <w:spacing w:after="0"/>
        <w:rPr>
          <w:sz w:val="20"/>
          <w:szCs w:val="20"/>
          <w:color w:val="auto"/>
        </w:rPr>
      </w:pPr>
      <w:r>
        <w:rPr>
          <w:rFonts w:ascii="Times New Roman" w:cs="Times New Roman" w:eastAsia="Times New Roman" w:hAnsi="Times New Roman"/>
          <w:sz w:val="17"/>
          <w:szCs w:val="17"/>
          <w:color w:val="auto"/>
        </w:rPr>
        <w:t>A reconciliation of our effective tax rate to the U.S. statutory federal income tax rate is as follows:</w:t>
      </w:r>
    </w:p>
    <w:p>
      <w:pPr>
        <w:sectPr>
          <w:pgSz w:w="11900" w:h="16838" w:orient="portrait"/>
          <w:cols w:equalWidth="0" w:num="1">
            <w:col w:w="11240"/>
          </w:cols>
          <w:pgMar w:left="320" w:top="10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U.S. federal statutory rate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State and local taxes, net of U.S. federal benefit</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Foreign tax rate differential</w:t>
      </w:r>
      <w:r>
        <w:rPr>
          <w:rFonts w:ascii="Times New Roman" w:cs="Times New Roman" w:eastAsia="Times New Roman" w:hAnsi="Times New Roman"/>
          <w:sz w:val="22"/>
          <w:szCs w:val="22"/>
          <w:color w:val="auto"/>
          <w:vertAlign w:val="superscript"/>
        </w:rPr>
        <w:t>(1)</w:t>
      </w:r>
    </w:p>
    <w:p>
      <w:pPr>
        <w:ind w:left="20"/>
        <w:spacing w:after="0" w:line="207" w:lineRule="auto"/>
        <w:rPr>
          <w:sz w:val="20"/>
          <w:szCs w:val="20"/>
          <w:color w:val="auto"/>
        </w:rPr>
      </w:pPr>
      <w:r>
        <w:rPr>
          <w:rFonts w:ascii="Times New Roman" w:cs="Times New Roman" w:eastAsia="Times New Roman" w:hAnsi="Times New Roman"/>
          <w:sz w:val="17"/>
          <w:szCs w:val="17"/>
          <w:color w:val="auto"/>
        </w:rPr>
        <w:t>Foreign earnings</w:t>
      </w:r>
      <w:r>
        <w:rPr>
          <w:rFonts w:ascii="Times New Roman" w:cs="Times New Roman" w:eastAsia="Times New Roman" w:hAnsi="Times New Roman"/>
          <w:sz w:val="22"/>
          <w:szCs w:val="22"/>
          <w:color w:val="auto"/>
          <w:vertAlign w:val="superscript"/>
        </w:rPr>
        <w:t>(2)</w:t>
      </w:r>
    </w:p>
    <w:p>
      <w:pPr>
        <w:ind w:left="20"/>
        <w:spacing w:after="0" w:line="208" w:lineRule="auto"/>
        <w:rPr>
          <w:sz w:val="20"/>
          <w:szCs w:val="20"/>
          <w:color w:val="auto"/>
        </w:rPr>
      </w:pPr>
      <w:r>
        <w:rPr>
          <w:rFonts w:ascii="Times New Roman" w:cs="Times New Roman" w:eastAsia="Times New Roman" w:hAnsi="Times New Roman"/>
          <w:sz w:val="17"/>
          <w:szCs w:val="17"/>
          <w:color w:val="auto"/>
        </w:rPr>
        <w:t>Tax credits</w:t>
      </w:r>
      <w:r>
        <w:rPr>
          <w:rFonts w:ascii="Times New Roman" w:cs="Times New Roman" w:eastAsia="Times New Roman" w:hAnsi="Times New Roman"/>
          <w:sz w:val="22"/>
          <w:szCs w:val="22"/>
          <w:color w:val="auto"/>
          <w:vertAlign w:val="superscript"/>
        </w:rPr>
        <w:t>(3)</w:t>
      </w:r>
    </w:p>
    <w:p>
      <w:pPr>
        <w:spacing w:after="0" w:line="1" w:lineRule="exact"/>
        <w:rPr>
          <w:sz w:val="20"/>
          <w:szCs w:val="20"/>
          <w:color w:val="auto"/>
        </w:rPr>
      </w:pPr>
    </w:p>
    <w:p>
      <w:pPr>
        <w:ind w:left="20" w:right="2300"/>
        <w:spacing w:after="0" w:line="260" w:lineRule="auto"/>
        <w:rPr>
          <w:sz w:val="20"/>
          <w:szCs w:val="20"/>
          <w:color w:val="auto"/>
        </w:rPr>
      </w:pPr>
      <w:r>
        <w:rPr>
          <w:rFonts w:ascii="Times New Roman" w:cs="Times New Roman" w:eastAsia="Times New Roman" w:hAnsi="Times New Roman"/>
          <w:sz w:val="17"/>
          <w:szCs w:val="17"/>
          <w:color w:val="auto"/>
        </w:rPr>
        <w:t>Excess tax benefits from stock-based compensation Earn-out adjustments</w:t>
      </w:r>
    </w:p>
    <w:p>
      <w:pPr>
        <w:ind w:left="20"/>
        <w:spacing w:after="0" w:line="221" w:lineRule="auto"/>
        <w:rPr>
          <w:sz w:val="20"/>
          <w:szCs w:val="20"/>
          <w:color w:val="auto"/>
        </w:rPr>
      </w:pPr>
      <w:r>
        <w:rPr>
          <w:rFonts w:ascii="Times New Roman" w:cs="Times New Roman" w:eastAsia="Times New Roman" w:hAnsi="Times New Roman"/>
          <w:sz w:val="17"/>
          <w:szCs w:val="17"/>
          <w:color w:val="auto"/>
        </w:rPr>
        <w:t>Valuation allowance—domestic</w:t>
      </w:r>
      <w:r>
        <w:rPr>
          <w:rFonts w:ascii="Times New Roman" w:cs="Times New Roman" w:eastAsia="Times New Roman" w:hAnsi="Times New Roman"/>
          <w:sz w:val="22"/>
          <w:szCs w:val="22"/>
          <w:color w:val="auto"/>
          <w:vertAlign w:val="superscript"/>
        </w:rPr>
        <w:t>(4)</w:t>
      </w:r>
    </w:p>
    <w:p>
      <w:pPr>
        <w:ind w:left="20"/>
        <w:spacing w:after="0" w:line="208" w:lineRule="auto"/>
        <w:rPr>
          <w:sz w:val="20"/>
          <w:szCs w:val="20"/>
          <w:color w:val="auto"/>
        </w:rPr>
      </w:pPr>
      <w:r>
        <w:rPr>
          <w:rFonts w:ascii="Times New Roman" w:cs="Times New Roman" w:eastAsia="Times New Roman" w:hAnsi="Times New Roman"/>
          <w:sz w:val="17"/>
          <w:szCs w:val="17"/>
          <w:color w:val="auto"/>
        </w:rPr>
        <w:t>Valuation allowance—foreign</w:t>
      </w:r>
      <w:r>
        <w:rPr>
          <w:rFonts w:ascii="Times New Roman" w:cs="Times New Roman" w:eastAsia="Times New Roman" w:hAnsi="Times New Roman"/>
          <w:sz w:val="22"/>
          <w:szCs w:val="22"/>
          <w:color w:val="auto"/>
          <w:vertAlign w:val="superscript"/>
        </w:rPr>
        <w:t>(4)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Nondeductible compensation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Global intangible low-taxed income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Foreign-derived intangible income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Change in reserves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Goodwill impairment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41097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2">
                      <a:extLst>
                        <a:ext uri="{28A0092B-C50C-407E-A947-70E740481C1C}"/>
                      </a:extLst>
                    </a:blip>
                    <a:srcRect/>
                    <a:stretch>
                      <a:fillRect/>
                    </a:stretch>
                  </pic:blipFill>
                  <pic:spPr bwMode="auto">
                    <a:xfrm>
                      <a:off x="0" y="0"/>
                      <a:ext cx="41097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1097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3">
                      <a:extLst>
                        <a:ext uri="{28A0092B-C50C-407E-A947-70E740481C1C}"/>
                      </a:extLst>
                    </a:blip>
                    <a:srcRect/>
                    <a:stretch>
                      <a:fillRect/>
                    </a:stretch>
                  </pic:blipFill>
                  <pic:spPr bwMode="auto">
                    <a:xfrm>
                      <a:off x="0" y="0"/>
                      <a:ext cx="41097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4109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4">
                      <a:extLst>
                        <a:ext uri="{28A0092B-C50C-407E-A947-70E740481C1C}"/>
                      </a:extLst>
                    </a:blip>
                    <a:srcRect/>
                    <a:stretch>
                      <a:fillRect/>
                    </a:stretch>
                  </pic:blipFill>
                  <pic:spPr bwMode="auto">
                    <a:xfrm>
                      <a:off x="0" y="0"/>
                      <a:ext cx="4109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19"/>
        </w:trPr>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7"/>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0.3 %</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15.9 %</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-1988820</wp:posOffset>
            </wp:positionV>
            <wp:extent cx="7105650" cy="139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5">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-1710055</wp:posOffset>
            </wp:positionV>
            <wp:extent cx="710565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6">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-1431925</wp:posOffset>
            </wp:positionV>
            <wp:extent cx="7105650" cy="139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-1153795</wp:posOffset>
            </wp:positionV>
            <wp:extent cx="7105650" cy="139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-875030</wp:posOffset>
            </wp:positionV>
            <wp:extent cx="7105650" cy="139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9">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-596900</wp:posOffset>
            </wp:positionV>
            <wp:extent cx="7105650" cy="139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-318770</wp:posOffset>
            </wp:positionV>
            <wp:extent cx="7105650" cy="139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1">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-2275205</wp:posOffset>
            </wp:positionV>
            <wp:extent cx="7105650" cy="147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2">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000" w:right="339" w:bottom="1440" w:gutter="0" w:footer="0" w:header="0"/>
          <w:type w:val="continuous"/>
        </w:sectPr>
      </w:pPr>
    </w:p>
    <w:p>
      <w:pPr>
        <w:spacing w:after="0" w:line="12" w:lineRule="exact"/>
        <w:rPr>
          <w:sz w:val="20"/>
          <w:szCs w:val="20"/>
          <w:color w:val="auto"/>
        </w:rPr>
      </w:pPr>
    </w:p>
    <w:p>
      <w:pPr>
        <w:ind w:left="160" w:hanging="157"/>
        <w:spacing w:after="0" w:line="217" w:lineRule="auto"/>
        <w:tabs>
          <w:tab w:leader="none" w:pos="146"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foreign rate differentials in relation to foreign earnings, for all periods presented, are primarily driven by changes in the mix of our foreign earnings and the difference between the foreign and U.S. income tax rates.</w:t>
      </w:r>
    </w:p>
    <w:p>
      <w:pPr>
        <w:ind w:left="160" w:hanging="157"/>
        <w:spacing w:after="0" w:line="249" w:lineRule="auto"/>
        <w:tabs>
          <w:tab w:leader="none" w:pos="146"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Fiscal year ended March 31, 2024 includes tax expense of $29.2 from a decrease in the deferred tax assets related to Switzerland's Federal Act on Tax Reform and AVH Financing ("TRAF") enacted on January 1, 2020. Fiscal year ended March 31, 2023 includes a tax benefit of $5.6 from the effects of an increase in the deferred tax asset.</w:t>
      </w:r>
    </w:p>
    <w:p>
      <w:pPr>
        <w:spacing w:after="0" w:line="1" w:lineRule="exact"/>
        <w:rPr>
          <w:rFonts w:ascii="Times New Roman" w:cs="Times New Roman" w:eastAsia="Times New Roman" w:hAnsi="Times New Roman"/>
          <w:sz w:val="9"/>
          <w:szCs w:val="9"/>
          <w:color w:val="auto"/>
        </w:rPr>
      </w:pPr>
    </w:p>
    <w:p>
      <w:pPr>
        <w:ind w:left="140" w:hanging="137"/>
        <w:spacing w:after="0" w:line="205" w:lineRule="auto"/>
        <w:tabs>
          <w:tab w:leader="none" w:pos="140"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Tax benefits were recorded for fiscal years ended March 31, 2025, 2024, and 2023 attributable to certain tax credits related to software development activities.</w:t>
      </w:r>
    </w:p>
    <w:p>
      <w:pPr>
        <w:spacing w:after="0" w:line="3" w:lineRule="exact"/>
        <w:rPr>
          <w:rFonts w:ascii="Times New Roman" w:cs="Times New Roman" w:eastAsia="Times New Roman" w:hAnsi="Times New Roman"/>
          <w:sz w:val="17"/>
          <w:szCs w:val="17"/>
          <w:color w:val="auto"/>
          <w:vertAlign w:val="superscript"/>
        </w:rPr>
      </w:pPr>
    </w:p>
    <w:p>
      <w:pPr>
        <w:ind w:left="160" w:hanging="157"/>
        <w:spacing w:after="0" w:line="233" w:lineRule="auto"/>
        <w:tabs>
          <w:tab w:leader="none" w:pos="144"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change in domestic and foreign valuation allowance includes an increase in our valuation allowance on deferred tax assets as a result of a determination in the fiscal years ended March 31, 2025 and 2024 that it was more likely than not that such deferred tax assets would not be realized.</w:t>
      </w:r>
    </w:p>
    <w:p>
      <w:pPr>
        <w:ind w:left="140" w:hanging="137"/>
        <w:spacing w:after="0"/>
        <w:tabs>
          <w:tab w:leader="none" w:pos="14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fiscal year ended March 31, 2023, includes nondeductible expense of $8.2 relating to loss on the redemption of convertible debt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98" w:name="page99"/>
    <w:bookmarkEnd w:id="98"/>
    <w:p>
      <w:pPr>
        <w:ind w:left="180"/>
        <w:spacing w:after="0"/>
        <w:rPr>
          <w:sz w:val="20"/>
          <w:szCs w:val="20"/>
          <w:color w:val="auto"/>
        </w:rPr>
      </w:pPr>
      <w:r>
        <w:rPr>
          <w:rFonts w:ascii="Times New Roman" w:cs="Times New Roman" w:eastAsia="Times New Roman" w:hAnsi="Times New Roman"/>
          <w:sz w:val="17"/>
          <w:szCs w:val="17"/>
          <w:color w:val="auto"/>
        </w:rPr>
        <w:t>The effects of temporary differences that gave rise to our deferred tax assets and liabilities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Capitalized development costs, software and depreciation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440.6</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365.1</w:t>
            </w: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credit carryforward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Equity-based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basis step up related to TRAF</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Disallowed interest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 reorganization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8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1,281.9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1,054.0</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(799.1)</w:t>
            </w:r>
          </w:p>
        </w:tc>
      </w:tr>
      <w:tr>
        <w:trPr>
          <w:trHeight w:val="212"/>
        </w:trPr>
        <w:tc>
          <w:tcPr>
            <w:tcW w:w="8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deferred tax assets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amortization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(513.2)</w:t>
            </w: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Right-of-use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2"/>
        </w:trPr>
        <w:tc>
          <w:tcPr>
            <w:tcW w:w="8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(414.4)</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(593.9)</w:t>
            </w:r>
          </w:p>
        </w:tc>
      </w:tr>
      <w:tr>
        <w:trPr>
          <w:trHeight w:val="237"/>
        </w:trPr>
        <w:tc>
          <w:tcPr>
            <w:tcW w:w="8180" w:type="dxa"/>
            <w:vAlign w:val="bottom"/>
            <w:tcBorders>
              <w:bottom w:val="single" w:sz="8" w:color="auto"/>
            </w:tcBorders>
            <w:shd w:val="clear" w:color="auto" w:fill="CCEEFF"/>
          </w:tcPr>
          <w:p>
            <w:pPr>
              <w:ind w:left="640"/>
              <w:spacing w:after="0" w:line="212" w:lineRule="exact"/>
              <w:rPr>
                <w:sz w:val="20"/>
                <w:szCs w:val="20"/>
                <w:color w:val="auto"/>
              </w:rPr>
            </w:pPr>
            <w:r>
              <w:rPr>
                <w:rFonts w:ascii="Times New Roman" w:cs="Times New Roman" w:eastAsia="Times New Roman" w:hAnsi="Times New Roman"/>
                <w:sz w:val="17"/>
                <w:szCs w:val="17"/>
                <w:color w:val="auto"/>
              </w:rPr>
              <w:t>Net deferred tax liability</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60" w:right="60" w:hanging="157"/>
        <w:spacing w:after="0" w:line="227" w:lineRule="auto"/>
        <w:tabs>
          <w:tab w:leader="none" w:pos="144"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March 31, 2025, $0.1 is included in Deferred tax assets, included within Prepaid expenses and other on our Consolidated Balance Sheets, and $259.6 is included in Deferred tax liabilities, net. As of March 31,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$1.9 is included in Deferred tax assets, included within Other asset on our Consolidated Balance Sheets, and $340.9 is included in Deferred tax liabilities, net.</w:t>
      </w:r>
    </w:p>
    <w:p>
      <w:pPr>
        <w:spacing w:after="0" w:line="126" w:lineRule="exact"/>
        <w:rPr>
          <w:sz w:val="20"/>
          <w:szCs w:val="20"/>
          <w:color w:val="auto"/>
        </w:rPr>
      </w:pPr>
    </w:p>
    <w:p>
      <w:pPr>
        <w:jc w:val="both"/>
        <w:ind w:firstLine="174"/>
        <w:spacing w:after="0" w:line="261" w:lineRule="auto"/>
        <w:rPr>
          <w:sz w:val="20"/>
          <w:szCs w:val="20"/>
          <w:color w:val="auto"/>
        </w:rPr>
      </w:pPr>
      <w:r>
        <w:rPr>
          <w:rFonts w:ascii="Times New Roman" w:cs="Times New Roman" w:eastAsia="Times New Roman" w:hAnsi="Times New Roman"/>
          <w:sz w:val="17"/>
          <w:szCs w:val="17"/>
          <w:color w:val="auto"/>
        </w:rPr>
        <w:t>We assess the realizability of the deferred tax assets based on the available positive and negative evidence in order to determine the amount which is more likely than not to be realized and record a valuation allowance as necessary. Due to our cumulative loss position, which provides significant negative evidence, we recognized a tax expense of $248.2 from an increase in our valuation allowance on U.S. and foreign deferred tax assets, as a result of a determination that it was more likely than not that such deferred tax assets would not be realized. The remaining net deferred tax liability is primarily related to a basis difference in intangibles as a result of the acquisition of Zynga in May 2022.</w:t>
      </w:r>
    </w:p>
    <w:p>
      <w:pPr>
        <w:spacing w:after="0" w:line="110" w:lineRule="exact"/>
        <w:rPr>
          <w:sz w:val="20"/>
          <w:szCs w:val="20"/>
          <w:color w:val="auto"/>
        </w:rPr>
      </w:pPr>
    </w:p>
    <w:p>
      <w:pPr>
        <w:jc w:val="both"/>
        <w:ind w:firstLine="200"/>
        <w:spacing w:after="0" w:line="264" w:lineRule="auto"/>
        <w:rPr>
          <w:sz w:val="20"/>
          <w:szCs w:val="20"/>
          <w:color w:val="auto"/>
        </w:rPr>
      </w:pPr>
      <w:r>
        <w:rPr>
          <w:rFonts w:ascii="Times New Roman" w:cs="Times New Roman" w:eastAsia="Times New Roman" w:hAnsi="Times New Roman"/>
          <w:sz w:val="17"/>
          <w:szCs w:val="17"/>
          <w:color w:val="auto"/>
        </w:rPr>
        <w:t>At March 31, 2025, we had domestic net operating loss carryforwards totaling $548.9 of which $35.9 will expire from 2026 to 2029, $190.7 will expire from 2030 to 2040, $178.4 will expire from 2041 to 2044, and the remainder will be carried forward indefinitely. In addition, we had foreign net operating loss carryforwards of $286.4, of which $197.8 will expire from 2026 to 2032, $15.9 will expire from 2042 to 2044 and the remainder may be carried forward indefinitely.</w:t>
      </w:r>
    </w:p>
    <w:p>
      <w:pPr>
        <w:spacing w:after="0" w:line="94" w:lineRule="exact"/>
        <w:rPr>
          <w:sz w:val="20"/>
          <w:szCs w:val="20"/>
          <w:color w:val="auto"/>
        </w:rPr>
      </w:pPr>
    </w:p>
    <w:p>
      <w:pPr>
        <w:jc w:val="both"/>
        <w:ind w:firstLine="184"/>
        <w:spacing w:after="0" w:line="287" w:lineRule="auto"/>
        <w:rPr>
          <w:sz w:val="20"/>
          <w:szCs w:val="20"/>
          <w:color w:val="auto"/>
        </w:rPr>
      </w:pPr>
      <w:r>
        <w:rPr>
          <w:rFonts w:ascii="Times New Roman" w:cs="Times New Roman" w:eastAsia="Times New Roman" w:hAnsi="Times New Roman"/>
          <w:sz w:val="17"/>
          <w:szCs w:val="17"/>
          <w:color w:val="auto"/>
        </w:rPr>
        <w:t>At March 31, 2025, we had domestic tax credit carryforwards totaling $436.4, of which $0.2 expire in 2026 to 2028, $104.5 expire from 2043 to 2046, and the remainder may be carried forward indefinitely. In addition, we had international tax credits of $12.0 which will expire from 2034 to 2042.</w:t>
      </w:r>
    </w:p>
    <w:p>
      <w:pPr>
        <w:spacing w:after="0" w:line="87" w:lineRule="exact"/>
        <w:rPr>
          <w:sz w:val="20"/>
          <w:szCs w:val="20"/>
          <w:color w:val="auto"/>
        </w:rPr>
      </w:pPr>
    </w:p>
    <w:p>
      <w:pPr>
        <w:jc w:val="both"/>
        <w:ind w:firstLine="178"/>
        <w:spacing w:after="0" w:line="264" w:lineRule="auto"/>
        <w:rPr>
          <w:sz w:val="20"/>
          <w:szCs w:val="20"/>
          <w:color w:val="auto"/>
        </w:rPr>
      </w:pPr>
      <w:r>
        <w:rPr>
          <w:rFonts w:ascii="Times New Roman" w:cs="Times New Roman" w:eastAsia="Times New Roman" w:hAnsi="Times New Roman"/>
          <w:sz w:val="17"/>
          <w:szCs w:val="17"/>
          <w:color w:val="auto"/>
        </w:rPr>
        <w:t>The total amount of undistributed earnings of foreign subsidiaries was approximately $180.5 at March 31, 2025 and $492.5 at March 31, 2024. As of March 31, 2025, it is our intention to reinvest indefinitely undistributed earnings of our foreign subsidiaries. Accordingly, no provision has been made for foreign withholding taxes or U.S. income taxes which may become payable if undistributed earnings of foreign subsidiaries are repatriated. It is not practicable to estimate the tax liability that would arise if these earnings were remitted.</w:t>
      </w:r>
    </w:p>
    <w:p>
      <w:pPr>
        <w:spacing w:after="0" w:line="10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7"/>
          <w:szCs w:val="17"/>
          <w:color w:val="auto"/>
        </w:rPr>
        <w:t>We are regularly audited by domestic and foreign taxing authorities. Audits may result in tax assessments in excess of amounts claimed and the payment of additional taxes. We believe that our tax return positions comply with applicable tax law and that we have adequately provided for reasonably foreseeable assessments of additional taxes. Additionally, we believe that any assessments in excess of the amounts provided for will not have a material adverse effect on our Consolidated Financial Statements. It is possible that settlement of audits or the expiration of the statute of limitations may have an impact on our effective tax rate in future periods.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9" w:name="page100"/>
    <w:bookmarkEnd w:id="99"/>
    <w:p>
      <w:pPr>
        <w:jc w:val="both"/>
        <w:ind w:firstLine="211"/>
        <w:spacing w:after="0" w:line="270" w:lineRule="auto"/>
        <w:rPr>
          <w:sz w:val="20"/>
          <w:szCs w:val="20"/>
          <w:color w:val="auto"/>
        </w:rPr>
      </w:pPr>
      <w:r>
        <w:rPr>
          <w:rFonts w:ascii="Times New Roman" w:cs="Times New Roman" w:eastAsia="Times New Roman" w:hAnsi="Times New Roman"/>
          <w:sz w:val="17"/>
          <w:szCs w:val="17"/>
          <w:color w:val="auto"/>
        </w:rPr>
        <w:t>We recognize interest and penalties related to uncertain tax positions in the provision for income taxes in our Consolidated Statements of Operations. For the fiscal years ended March 31, 2025, 2024, and 2023, we recognized an increase of interest and penalties of $14.8, $13.5, and $8.9, respectively. The gross amount of interest and penalties accrued as of March 31, 2025 and 2024 was $48.4 and $33.6, respectively.</w:t>
      </w:r>
    </w:p>
    <w:p>
      <w:pPr>
        <w:spacing w:after="0" w:line="88" w:lineRule="exact"/>
        <w:rPr>
          <w:sz w:val="20"/>
          <w:szCs w:val="20"/>
          <w:color w:val="auto"/>
        </w:rPr>
      </w:pPr>
    </w:p>
    <w:p>
      <w:pPr>
        <w:jc w:val="both"/>
        <w:ind w:firstLine="173"/>
        <w:spacing w:after="0" w:line="287" w:lineRule="auto"/>
        <w:rPr>
          <w:sz w:val="20"/>
          <w:szCs w:val="20"/>
          <w:color w:val="auto"/>
        </w:rPr>
      </w:pPr>
      <w:r>
        <w:rPr>
          <w:rFonts w:ascii="Times New Roman" w:cs="Times New Roman" w:eastAsia="Times New Roman" w:hAnsi="Times New Roman"/>
          <w:sz w:val="17"/>
          <w:szCs w:val="17"/>
          <w:color w:val="auto"/>
        </w:rPr>
        <w:t>As of March 31, 2025, we had gross unrecognized tax benefits, including interest and penalties, of $267.1, of which $109.5 would affect our effective tax rate if realized. For the fiscal year ended March 31, 2025, gross unrecognized tax benefits decreased by $9.3.</w:t>
      </w:r>
    </w:p>
    <w:p>
      <w:pPr>
        <w:spacing w:after="0" w:line="87" w:lineRule="exact"/>
        <w:rPr>
          <w:sz w:val="20"/>
          <w:szCs w:val="20"/>
          <w:color w:val="auto"/>
        </w:rPr>
      </w:pPr>
    </w:p>
    <w:p>
      <w:pPr>
        <w:jc w:val="both"/>
        <w:ind w:firstLine="192"/>
        <w:spacing w:after="0" w:line="264" w:lineRule="auto"/>
        <w:rPr>
          <w:sz w:val="20"/>
          <w:szCs w:val="20"/>
          <w:color w:val="auto"/>
        </w:rPr>
      </w:pPr>
      <w:r>
        <w:rPr>
          <w:rFonts w:ascii="Times New Roman" w:cs="Times New Roman" w:eastAsia="Times New Roman" w:hAnsi="Times New Roman"/>
          <w:sz w:val="17"/>
          <w:szCs w:val="17"/>
          <w:color w:val="auto"/>
        </w:rPr>
        <w:t>We are no longer subject to audit for U.S. federal income tax returns for periods prior to our fiscal year ended March 31, 2022 and state income tax returns for periods prior to the fiscal year ended March 31, 2020. With few exceptions, we are no longer subject to income tax examinations in non-U.S. jurisdictions for years prior to fiscal year ended March 31, 2018. Certain U.S. federal, state and foreign taxing authorities are currently examining our income tax returns for the fiscal years ended March 31, 2016 through March 31, 2023.</w:t>
      </w:r>
    </w:p>
    <w:p>
      <w:pPr>
        <w:spacing w:after="0" w:line="107"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7"/>
          <w:szCs w:val="17"/>
          <w:color w:val="auto"/>
        </w:rPr>
        <w:t>The timing of the resolution of income tax examinations is highly uncertain, and the amounts ultimately paid, if any, upon resolution of the issues raised by the taxing authorities may differ materially from the amounts accrued for each year. Although potential resolution of uncertain tax positions involve multiple tax periods and jurisdictions, it is reasonably possible that a reduction of $7.4 of unrecognized tax benefits may occur within the next 12 months, some of which, depending on the nature of the settlement or expiration of statutes of limitations, may affect our income tax provision and therefore benefit the resulting effective tax rate. The actual amount could vary significantly depending on the ultimate timing and nature of any settlements.</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aggregate changes to the liability for gross uncertain tax positions, excluding interest and penalties,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6"/>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5"/>
              </w:rPr>
              <w:t>Fiscal Year Ended March 31,</w:t>
            </w:r>
          </w:p>
        </w:tc>
        <w:tc>
          <w:tcPr>
            <w:tcW w:w="1020" w:type="dxa"/>
            <w:vAlign w:val="bottom"/>
          </w:tcPr>
          <w:p>
            <w:pPr>
              <w:spacing w:after="0"/>
              <w:rPr>
                <w:sz w:val="15"/>
                <w:szCs w:val="15"/>
                <w:color w:val="auto"/>
              </w:rPr>
            </w:pPr>
          </w:p>
        </w:tc>
      </w:tr>
      <w:tr>
        <w:trPr>
          <w:trHeight w:val="22"/>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6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year tax positions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19"/>
        </w:trPr>
        <w:tc>
          <w:tcPr>
            <w:tcW w:w="6900" w:type="dxa"/>
            <w:vAlign w:val="bottom"/>
            <w:gridSpan w:val="2"/>
          </w:tcPr>
          <w:p>
            <w:pPr>
              <w:ind w:left="140"/>
              <w:spacing w:after="0" w:line="219" w:lineRule="exact"/>
              <w:rPr>
                <w:sz w:val="20"/>
                <w:szCs w:val="20"/>
                <w:color w:val="auto"/>
              </w:rPr>
            </w:pPr>
            <w:r>
              <w:rPr>
                <w:rFonts w:ascii="Times New Roman" w:cs="Times New Roman" w:eastAsia="Times New Roman" w:hAnsi="Times New Roman"/>
                <w:sz w:val="17"/>
                <w:szCs w:val="17"/>
                <w:color w:val="auto"/>
              </w:rPr>
              <w:t>Prior year tax positions</w:t>
            </w:r>
            <w:r>
              <w:rPr>
                <w:rFonts w:ascii="Times New Roman" w:cs="Times New Roman" w:eastAsia="Times New Roman" w:hAnsi="Times New Roman"/>
                <w:sz w:val="22"/>
                <w:szCs w:val="22"/>
                <w:color w:val="auto"/>
                <w:vertAlign w:val="superscript"/>
              </w:rPr>
              <w:t>(1)</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1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 of prior year tax positions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end of period</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160" w:hanging="157"/>
        <w:spacing w:after="0"/>
        <w:tabs>
          <w:tab w:leader="none" w:pos="16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fiscal year ended March 31, 2023, the increase in prior year tax positions of $109.7 related to purchase accounting for the Zynga acquisition.</w:t>
      </w:r>
    </w:p>
    <w:p>
      <w:pPr>
        <w:spacing w:after="0" w:line="152" w:lineRule="exact"/>
        <w:rPr>
          <w:sz w:val="20"/>
          <w:szCs w:val="20"/>
          <w:color w:val="auto"/>
        </w:rPr>
      </w:pPr>
    </w:p>
    <w:p>
      <w:pPr>
        <w:ind w:firstLine="218"/>
        <w:spacing w:after="0" w:line="287" w:lineRule="auto"/>
        <w:rPr>
          <w:sz w:val="20"/>
          <w:szCs w:val="20"/>
          <w:color w:val="auto"/>
        </w:rPr>
      </w:pPr>
      <w:r>
        <w:rPr>
          <w:rFonts w:ascii="Times New Roman" w:cs="Times New Roman" w:eastAsia="Times New Roman" w:hAnsi="Times New Roman"/>
          <w:sz w:val="17"/>
          <w:szCs w:val="17"/>
          <w:color w:val="auto"/>
        </w:rPr>
        <w:t>We believe that we have provided for any reasonably foreseeable outcomes related to our tax audits and that any settlement will not have a material adverse effect on our consolidated financial statements. However, there can be no assurances as to the possible outcomes.</w:t>
      </w:r>
    </w:p>
    <w:p>
      <w:pPr>
        <w:spacing w:after="0" w:line="83" w:lineRule="exact"/>
        <w:rPr>
          <w:sz w:val="20"/>
          <w:szCs w:val="20"/>
          <w:color w:val="auto"/>
        </w:rPr>
      </w:pPr>
    </w:p>
    <w:p>
      <w:pPr>
        <w:ind w:right="8220" w:firstLine="3"/>
        <w:spacing w:after="0" w:line="421" w:lineRule="auto"/>
        <w:tabs>
          <w:tab w:leader="none" w:pos="344"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Stock Incentive Plan</w:t>
      </w:r>
    </w:p>
    <w:p>
      <w:pPr>
        <w:spacing w:after="0" w:line="1"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7"/>
          <w:szCs w:val="17"/>
          <w:color w:val="auto"/>
        </w:rPr>
        <w:t>In September 2017, our stockholders approved our 2017 Stock Incentive Plan (as amended and restated, the "2017 Plan"). The aggregate number of shares issuable under the 2017 Plan is 25.7, subject to adjustment as set forth in the 2017 Plan, and, as of March 31, 2025, there were approximately 8.3 shares available for issuance. The 2017 Plan is administered by the Compensation Committee of the Board of Directors (the "Board") and allows for awards of restricted stock units and other stock-based awards of our common stock to employees and non-employees, including to ZMC in connection with their contract to provide executive management service to us. Subject to the provisions of the plans, the Board, or any Committee appointed by the Board, has the authority to determine the individuals to whom the equity awards are to be granted, the number of shares to be covered by each equity award, the vesting period, restrictions, if any, on the equity award and the terms and conditions of the equity award.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included in our 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60" w:type="dxa"/>
            <w:vAlign w:val="bottom"/>
            <w:gridSpan w:val="6"/>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00" w:type="dxa"/>
            <w:vAlign w:val="bottom"/>
          </w:tcPr>
          <w:p>
            <w:pPr>
              <w:spacing w:after="0"/>
              <w:rPr>
                <w:sz w:val="15"/>
                <w:szCs w:val="15"/>
                <w:color w:val="auto"/>
              </w:rPr>
            </w:pPr>
          </w:p>
        </w:tc>
      </w:tr>
      <w:tr>
        <w:trPr>
          <w:trHeight w:val="22"/>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72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123.2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w:t>
            </w:r>
          </w:p>
        </w:tc>
      </w:tr>
      <w:tr>
        <w:trPr>
          <w:trHeight w:val="212"/>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324.0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37"/>
        </w:trPr>
        <w:tc>
          <w:tcPr>
            <w:tcW w:w="7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net of income tax benefit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stock-based compensation expense</w:t>
            </w:r>
          </w:p>
        </w:tc>
        <w:tc>
          <w:tcPr>
            <w:tcW w:w="120" w:type="dxa"/>
            <w:vAlign w:val="bottom"/>
          </w:tcPr>
          <w:p>
            <w:pPr>
              <w:spacing w:after="0"/>
              <w:rPr>
                <w:sz w:val="17"/>
                <w:szCs w:val="17"/>
                <w:color w:val="auto"/>
              </w:rPr>
            </w:pP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81.4</w:t>
            </w:r>
          </w:p>
        </w:tc>
        <w:tc>
          <w:tcPr>
            <w:tcW w:w="120" w:type="dxa"/>
            <w:vAlign w:val="bottom"/>
          </w:tcPr>
          <w:p>
            <w:pPr>
              <w:spacing w:after="0"/>
              <w:rPr>
                <w:sz w:val="17"/>
                <w:szCs w:val="17"/>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Pr>
          <w:p>
            <w:pPr>
              <w:spacing w:after="0"/>
              <w:rPr>
                <w:sz w:val="17"/>
                <w:szCs w:val="17"/>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r>
    </w:tbl>
    <w:p>
      <w:pPr>
        <w:spacing w:after="0" w:line="195" w:lineRule="exact"/>
        <w:rPr>
          <w:sz w:val="20"/>
          <w:szCs w:val="20"/>
          <w:color w:val="auto"/>
        </w:rPr>
      </w:pPr>
    </w:p>
    <w:p>
      <w:pPr>
        <w:jc w:val="both"/>
        <w:ind w:firstLine="291"/>
        <w:spacing w:after="0" w:line="264" w:lineRule="auto"/>
        <w:rPr>
          <w:sz w:val="20"/>
          <w:szCs w:val="20"/>
          <w:color w:val="auto"/>
        </w:rPr>
      </w:pPr>
      <w:r>
        <w:rPr>
          <w:rFonts w:ascii="Times New Roman" w:cs="Times New Roman" w:eastAsia="Times New Roman" w:hAnsi="Times New Roman"/>
          <w:sz w:val="17"/>
          <w:szCs w:val="17"/>
          <w:color w:val="auto"/>
        </w:rPr>
        <w:t>During the fiscal year ended March 31, 2025, the forfeiture of awards resulted in the reversal of expense of $8.3 and amounts capitalized as software development costs of $8.3. During the fiscal year ended March 31, 2024, the forfeiture of awards resulted in the reversal of expense of $2.4 and amounts capitalized as software development costs of $7.4. During the fiscal year ended March 31, 2023, the forfeiture of awards resulted in the reversal of expense of $49.5 and amounts capitalized as software development costs of $11.9.</w:t>
      </w:r>
    </w:p>
    <w:p>
      <w:pPr>
        <w:spacing w:after="0" w:line="107" w:lineRule="exact"/>
        <w:rPr>
          <w:sz w:val="20"/>
          <w:szCs w:val="20"/>
          <w:color w:val="auto"/>
        </w:rPr>
      </w:pPr>
    </w:p>
    <w:p>
      <w:pPr>
        <w:jc w:val="both"/>
        <w:ind w:firstLine="168"/>
        <w:spacing w:after="0" w:line="287" w:lineRule="auto"/>
        <w:rPr>
          <w:sz w:val="20"/>
          <w:szCs w:val="20"/>
          <w:color w:val="auto"/>
        </w:rPr>
      </w:pPr>
      <w:r>
        <w:rPr>
          <w:rFonts w:ascii="Times New Roman" w:cs="Times New Roman" w:eastAsia="Times New Roman" w:hAnsi="Times New Roman"/>
          <w:sz w:val="17"/>
          <w:szCs w:val="17"/>
          <w:color w:val="auto"/>
        </w:rPr>
        <w:t>As of March 31, 2025, the total future unrecognized compensation cost related to outstanding unvested restricted stock was $624.2 and will be either recognized as compensation expense over a weighted-average period of approximately 2.6 years or capitalized as software development costs.</w:t>
      </w:r>
    </w:p>
    <w:p>
      <w:pPr>
        <w:spacing w:after="0" w:line="87" w:lineRule="exact"/>
        <w:rPr>
          <w:sz w:val="20"/>
          <w:szCs w:val="20"/>
          <w:color w:val="auto"/>
        </w:rPr>
      </w:pPr>
    </w:p>
    <w:p>
      <w:pPr>
        <w:jc w:val="both"/>
        <w:ind w:firstLine="286"/>
        <w:spacing w:after="0" w:line="287" w:lineRule="auto"/>
        <w:rPr>
          <w:sz w:val="20"/>
          <w:szCs w:val="20"/>
          <w:color w:val="auto"/>
        </w:rPr>
      </w:pPr>
      <w:r>
        <w:rPr>
          <w:rFonts w:ascii="Times New Roman" w:cs="Times New Roman" w:eastAsia="Times New Roman" w:hAnsi="Times New Roman"/>
          <w:sz w:val="17"/>
          <w:szCs w:val="17"/>
          <w:color w:val="auto"/>
        </w:rPr>
        <w:t>For the fiscal years ended March 31, 2025, 2024, and 2023, the total fair values of restricted stock units that vested were $526.6, $309.3, and $321.8, respectively.</w:t>
      </w:r>
    </w:p>
    <w:p>
      <w:pPr>
        <w:spacing w:after="0" w:line="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connection with the Zynga acquisition (i) the outstanding and unexercised options to purchase Zynga common stock were assumed by the Company and automatically converted into options exercisable for shares of Take-Two common stock (the “Converted Options”), (ii) the issued and outstanding restricted stock unit awards with respect to Zynga common stock were assumed by the Company and automatically converted into a Take-Two restricted stock unit award with respect to shares of Take-Two common stock (the “Converted RSUs”), and (iii) the issued and outstanding performance stock unit awards with respect to Zynga common stock were assumed by the Company and automatically converted into a Take-Two restricted stock unit award with respect to shares of Take-Two common stock (the “Converted PSUs” and together with the Converted Options and the Converted RSUs, the “Converted Awards”). As a result, we issued replacement equity options and PSU/RSU awards of 1.5 and 4.2, respectively. The portion of the fair value related to pre-combination services of $151.7 was included in the purchase price, and $28.6 was recognized as day-one post-combination expense for acceleration of awards, while the remaining fair value will be recognized over the remaining service periods. As of March 31, 2025, the future expense for the Converted RSUs and Converted PSUs was approximately $34.6, which will be recognized over a weighted average service period of approximately 0.6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Awards</w:t>
      </w:r>
    </w:p>
    <w:p>
      <w:pPr>
        <w:spacing w:after="0" w:line="144" w:lineRule="exact"/>
        <w:rPr>
          <w:sz w:val="20"/>
          <w:szCs w:val="20"/>
          <w:color w:val="auto"/>
        </w:rPr>
      </w:pPr>
    </w:p>
    <w:p>
      <w:pPr>
        <w:jc w:val="both"/>
        <w:ind w:firstLine="181"/>
        <w:spacing w:after="0" w:line="264" w:lineRule="auto"/>
        <w:rPr>
          <w:sz w:val="20"/>
          <w:szCs w:val="20"/>
          <w:color w:val="auto"/>
        </w:rPr>
      </w:pPr>
      <w:r>
        <w:rPr>
          <w:rFonts w:ascii="Times New Roman" w:cs="Times New Roman" w:eastAsia="Times New Roman" w:hAnsi="Times New Roman"/>
          <w:sz w:val="17"/>
          <w:szCs w:val="17"/>
          <w:color w:val="auto"/>
        </w:rPr>
        <w:t>Time-based restricted stock units granted to employees under our stock-based compensation plans generally vest either annually or quarterly over three years or four years from the date of grant. Certain restricted stock units granted to key officers, senior-level employees, or key employees vest based on market conditions, primarily related to the performance of the price of our common stock. Certain restricted stock units granted to key officers, senior-level employees, or key employees vest based on performance conditions, primarily related to performance metrics around certain of our titles.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ZMC Non-Employee Awards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In connection with the 2022 Management Agreement and the 2017 Management Agreement, we granted restricted stock units (in thousands) to ZMC (see </w:t>
      </w:r>
      <w:r>
        <w:rPr>
          <w:rFonts w:ascii="Times New Roman" w:cs="Times New Roman" w:eastAsia="Times New Roman" w:hAnsi="Times New Roman"/>
          <w:sz w:val="17"/>
          <w:szCs w:val="17"/>
          <w:u w:val="single" w:color="auto"/>
          <w:color w:val="0000FF"/>
        </w:rPr>
        <w:t>Note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3 - Management Agreement</w:t>
      </w:r>
      <w:r>
        <w:rPr>
          <w:rFonts w:ascii="Times New Roman" w:cs="Times New Roman" w:eastAsia="Times New Roman" w:hAnsi="Times New Roman"/>
          <w:sz w:val="17"/>
          <w:szCs w:val="17"/>
          <w:color w:val="000000"/>
        </w:rPr>
        <w:t>)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2"/>
        </w:trPr>
        <w:tc>
          <w:tcPr>
            <w:tcW w:w="9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r>
      <w:tr>
        <w:trPr>
          <w:trHeight w:val="22"/>
        </w:trPr>
        <w:tc>
          <w:tcPr>
            <w:tcW w:w="9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92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Time-based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932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Market-based</w:t>
            </w:r>
            <w:r>
              <w:rPr>
                <w:rFonts w:ascii="Times New Roman" w:cs="Times New Roman" w:eastAsia="Times New Roman" w:hAnsi="Times New Roman"/>
                <w:sz w:val="22"/>
                <w:szCs w:val="22"/>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9"/>
        </w:trPr>
        <w:tc>
          <w:tcPr>
            <w:tcW w:w="93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Performance-based</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2"/>
        </w:trPr>
        <w:tc>
          <w:tcPr>
            <w:tcW w:w="9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Restricted Stock Units</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517</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20" w:hanging="117"/>
        <w:spacing w:after="0"/>
        <w:tabs>
          <w:tab w:leader="none" w:pos="12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maximum number of shares eligible to vest.</w:t>
      </w:r>
    </w:p>
    <w:p>
      <w:pPr>
        <w:spacing w:after="0" w:line="140" w:lineRule="exact"/>
        <w:rPr>
          <w:sz w:val="20"/>
          <w:szCs w:val="20"/>
          <w:color w:val="auto"/>
        </w:rPr>
      </w:pPr>
    </w:p>
    <w:p>
      <w:pPr>
        <w:jc w:val="both"/>
        <w:ind w:firstLine="188"/>
        <w:spacing w:after="0" w:line="270" w:lineRule="auto"/>
        <w:rPr>
          <w:sz w:val="20"/>
          <w:szCs w:val="20"/>
          <w:color w:val="auto"/>
        </w:rPr>
      </w:pPr>
      <w:r>
        <w:rPr>
          <w:rFonts w:ascii="Times New Roman" w:cs="Times New Roman" w:eastAsia="Times New Roman" w:hAnsi="Times New Roman"/>
          <w:sz w:val="17"/>
          <w:szCs w:val="17"/>
          <w:color w:val="auto"/>
        </w:rPr>
        <w:t>Time-based restricted stock units granted pursuant to the 2022 Management Agreement in fiscal year 2025 will vest on June 1, 2025, June 1, 2026, and June 1, 2027, and those granted in fiscal year 2024 partially vested on June 1, 2024 and will also vest in part on June 1, 2025, and June 1, 2026. Time-based restricted stock units granted in fiscal year 2023, partially vested on June 1, 2023, and June 1, 2024, and will also vest on June 1, 2025.</w:t>
      </w:r>
    </w:p>
    <w:p>
      <w:pPr>
        <w:spacing w:after="0" w:line="1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Market-based restricted stock units granted pursuant to the 2022 Management Agreement in fiscal year 2025 are eligible to vest on June 1, 2027, those granted in fiscal year 2024 are eligible to vest on June 1, 2026, and those granted in fiscal year 2023 are eligible to vest on June 1, 2025. Market-based restricted stock units are eligible to vest based on the Company's Total Shareholder Return (as defined in the relevant grant agreement) relative to the Total Shareholder Return (as defined in the relevant grant agreement) of the companies that constitute the NASDAQ 100 index under the 2022 Management Agreement (as defined in the relevant grant agreement) as of the grant date measured over a three-year period, as applicable.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1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restricted stock units granted pursuant to the 2022 Management Agreement in fiscal year 2025 are eligible to vest on June 1, 2027, those granted in fiscal year 2024 are eligible to vest on June 1, 2026, and those granted in fiscal year 2023 are eligible to vest on June 1, 2025. The performance-based restricted stock units are tied to RCS (as defined in the relevant grant agreement) and are eligible to vest based on the Company's achievement of certain performance metrics (as defined in the relevant grant agreement) of RCS measured over a three-year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9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unvested portion of time-based, market-based and performance-based restricted stock units held by ZMC as of March 31, 2025 and 2024 were 1.4 and 1.3, respectively. During the fiscal year ended March 31, 2025, 0.5 restricted stock units previously granted to ZMC vested, and 0.1 restricted stock units were forfeited by ZMC.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Stock-Based Awards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Time-Based Awards</w:t>
      </w:r>
    </w:p>
    <w:p>
      <w:pPr>
        <w:spacing w:after="0" w:line="144" w:lineRule="exact"/>
        <w:rPr>
          <w:sz w:val="20"/>
          <w:szCs w:val="20"/>
          <w:color w:val="auto"/>
        </w:rPr>
      </w:pPr>
    </w:p>
    <w:p>
      <w:pPr>
        <w:jc w:val="both"/>
        <w:ind w:firstLine="194"/>
        <w:spacing w:after="0" w:line="287" w:lineRule="auto"/>
        <w:rPr>
          <w:sz w:val="20"/>
          <w:szCs w:val="20"/>
          <w:color w:val="auto"/>
        </w:rPr>
      </w:pPr>
      <w:r>
        <w:rPr>
          <w:rFonts w:ascii="Times New Roman" w:cs="Times New Roman" w:eastAsia="Times New Roman" w:hAnsi="Times New Roman"/>
          <w:sz w:val="17"/>
          <w:szCs w:val="17"/>
          <w:color w:val="auto"/>
        </w:rPr>
        <w:t>The estimated value, based on the closing price of our stock on the grant date, of time-based restricted stock units granted to employees during the fiscal years ended March 31, 2025, 2024, and 2023 was $162.17, $138.25, and $118.17 per share, respectively.</w:t>
      </w:r>
    </w:p>
    <w:p>
      <w:pPr>
        <w:spacing w:after="0" w:line="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7"/>
          <w:szCs w:val="17"/>
          <w:color w:val="auto"/>
        </w:rPr>
        <w:t>For the fiscal years ended March 31, 2025, 2024, and 2023, the estimated value, based on the closing price of our stock on the grant date, of time-based restricted stock awards granted to ZMC was $163.64, $137.59, and $128.90 per share,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02" w:name="page103"/>
    <w:bookmarkEnd w:id="102"/>
    <w:p>
      <w:pPr>
        <w:jc w:val="both"/>
        <w:ind w:firstLine="204"/>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activity in non-vested restricted stock units to employees and ZMC under our stock-based compensation plans with time-based restricted stock awards presented at 100% of target number of shares that may potentially vest: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62"/>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40"/>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2"/>
              <w:spacing w:after="0" w:line="141" w:lineRule="exact"/>
              <w:rPr>
                <w:sz w:val="20"/>
                <w:szCs w:val="20"/>
                <w:color w:val="auto"/>
              </w:rPr>
            </w:pPr>
            <w:r>
              <w:rPr>
                <w:rFonts w:ascii="Times New Roman" w:cs="Times New Roman" w:eastAsia="Times New Roman" w:hAnsi="Times New Roman"/>
                <w:sz w:val="14"/>
                <w:szCs w:val="14"/>
                <w:b w:val="1"/>
                <w:bCs w:val="1"/>
                <w:color w:val="auto"/>
                <w:w w:val="93"/>
              </w:rPr>
              <w:t>Value on</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March 31, 2024</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129.33</w:t>
            </w:r>
          </w:p>
        </w:tc>
        <w:tc>
          <w:tcPr>
            <w:tcW w:w="0" w:type="dxa"/>
            <w:vAlign w:val="bottom"/>
          </w:tcPr>
          <w:p>
            <w:pPr>
              <w:spacing w:after="0"/>
              <w:rPr>
                <w:sz w:val="1"/>
                <w:szCs w:val="1"/>
                <w:color w:val="auto"/>
              </w:rPr>
            </w:pP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162.26</w:t>
            </w:r>
          </w:p>
        </w:tc>
        <w:tc>
          <w:tcPr>
            <w:tcW w:w="0" w:type="dxa"/>
            <w:vAlign w:val="bottom"/>
          </w:tcPr>
          <w:p>
            <w:pPr>
              <w:spacing w:after="0"/>
              <w:rPr>
                <w:sz w:val="1"/>
                <w:szCs w:val="1"/>
                <w:color w:val="auto"/>
              </w:rPr>
            </w:pPr>
          </w:p>
        </w:tc>
      </w:tr>
      <w:tr>
        <w:trPr>
          <w:trHeight w:val="219"/>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132.92</w:t>
            </w:r>
          </w:p>
        </w:tc>
        <w:tc>
          <w:tcPr>
            <w:tcW w:w="0" w:type="dxa"/>
            <w:vAlign w:val="bottom"/>
          </w:tcPr>
          <w:p>
            <w:pPr>
              <w:spacing w:after="0"/>
              <w:rPr>
                <w:sz w:val="1"/>
                <w:szCs w:val="1"/>
                <w:color w:val="auto"/>
              </w:rPr>
            </w:pPr>
          </w:p>
        </w:tc>
      </w:tr>
      <w:tr>
        <w:trPr>
          <w:trHeight w:val="21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126.61</w:t>
            </w:r>
          </w:p>
        </w:tc>
        <w:tc>
          <w:tcPr>
            <w:tcW w:w="0" w:type="dxa"/>
            <w:vAlign w:val="bottom"/>
          </w:tcPr>
          <w:p>
            <w:pPr>
              <w:spacing w:after="0"/>
              <w:rPr>
                <w:sz w:val="1"/>
                <w:szCs w:val="1"/>
                <w:color w:val="auto"/>
              </w:rPr>
            </w:pPr>
          </w:p>
        </w:tc>
      </w:tr>
      <w:tr>
        <w:trPr>
          <w:trHeight w:val="237"/>
        </w:trPr>
        <w:tc>
          <w:tcPr>
            <w:tcW w:w="7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March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144.18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Market-Based Awards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weighted-average assumptions used in the Monte Carlo Simulation to estimate the fair value of market-based awards: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7"/>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5"/>
                <w:szCs w:val="15"/>
                <w:color w:val="auto"/>
              </w:rPr>
            </w:pPr>
          </w:p>
        </w:tc>
      </w:tr>
      <w:tr>
        <w:trPr>
          <w:trHeight w:val="22"/>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top w:val="single" w:sz="8" w:color="auto"/>
            </w:tcBorders>
            <w:gridSpan w:val="3"/>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106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Non-Employee</w:t>
            </w:r>
          </w:p>
        </w:tc>
        <w:tc>
          <w:tcPr>
            <w:tcW w:w="100" w:type="dxa"/>
            <w:vAlign w:val="bottom"/>
          </w:tcPr>
          <w:p>
            <w:pPr>
              <w:spacing w:after="0"/>
              <w:rPr>
                <w:sz w:val="10"/>
                <w:szCs w:val="10"/>
                <w:color w:val="auto"/>
              </w:rPr>
            </w:pPr>
          </w:p>
        </w:tc>
        <w:tc>
          <w:tcPr>
            <w:tcW w:w="1600" w:type="dxa"/>
            <w:vAlign w:val="bottom"/>
            <w:tcBorders>
              <w:top w:val="single" w:sz="8" w:color="auto"/>
            </w:tcBorders>
            <w:gridSpan w:val="3"/>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1200" w:type="dxa"/>
            <w:vAlign w:val="bottom"/>
            <w:tcBorders>
              <w:top w:val="single" w:sz="8" w:color="auto"/>
            </w:tcBorders>
          </w:tcPr>
          <w:p>
            <w:pPr>
              <w:ind w:left="80"/>
              <w:spacing w:after="0" w:line="123" w:lineRule="exact"/>
              <w:rPr>
                <w:sz w:val="20"/>
                <w:szCs w:val="20"/>
                <w:color w:val="auto"/>
              </w:rPr>
            </w:pPr>
            <w:r>
              <w:rPr>
                <w:rFonts w:ascii="Times New Roman" w:cs="Times New Roman" w:eastAsia="Times New Roman" w:hAnsi="Times New Roman"/>
                <w:sz w:val="14"/>
                <w:szCs w:val="14"/>
                <w:b w:val="1"/>
                <w:bCs w:val="1"/>
                <w:color w:val="auto"/>
              </w:rPr>
              <w:t>Non-Employee</w:t>
            </w:r>
          </w:p>
        </w:tc>
        <w:tc>
          <w:tcPr>
            <w:tcW w:w="100" w:type="dxa"/>
            <w:vAlign w:val="bottom"/>
          </w:tcPr>
          <w:p>
            <w:pPr>
              <w:spacing w:after="0"/>
              <w:rPr>
                <w:sz w:val="10"/>
                <w:szCs w:val="10"/>
                <w:color w:val="auto"/>
              </w:rPr>
            </w:pPr>
          </w:p>
        </w:tc>
        <w:tc>
          <w:tcPr>
            <w:tcW w:w="1700" w:type="dxa"/>
            <w:vAlign w:val="bottom"/>
            <w:tcBorders>
              <w:top w:val="single" w:sz="8" w:color="auto"/>
            </w:tcBorders>
            <w:gridSpan w:val="3"/>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1260" w:type="dxa"/>
            <w:vAlign w:val="bottom"/>
            <w:tcBorders>
              <w:top w:val="single" w:sz="8" w:color="auto"/>
            </w:tcBorders>
          </w:tcPr>
          <w:p>
            <w:pPr>
              <w:jc w:val="right"/>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Non-Employee</w:t>
            </w:r>
          </w:p>
        </w:tc>
      </w:tr>
      <w:tr>
        <w:trPr>
          <w:trHeight w:val="187"/>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Market-Based</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Market-Based</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Market-Based</w:t>
            </w: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Market-Based</w:t>
            </w:r>
          </w:p>
        </w:tc>
      </w:tr>
      <w:tr>
        <w:trPr>
          <w:trHeight w:val="217"/>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- 2.8%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- 2.8%</w:t>
            </w:r>
          </w:p>
        </w:tc>
      </w:tr>
      <w:tr>
        <w:trPr>
          <w:trHeight w:val="21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- 37.6%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 - 37.6%</w:t>
            </w:r>
          </w:p>
        </w:tc>
      </w:tr>
      <w:tr>
        <w:trPr>
          <w:trHeight w:val="21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service period (years)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1.8 - 2.8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1.8 - 2.8</w:t>
            </w:r>
          </w:p>
        </w:tc>
      </w:tr>
      <w:tr>
        <w:trPr>
          <w:trHeight w:val="22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Dividends</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None</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None</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None</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None</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None</w:t>
            </w:r>
          </w:p>
        </w:tc>
      </w:tr>
    </w:tbl>
    <w:p>
      <w:pPr>
        <w:spacing w:after="0" w:line="195" w:lineRule="exact"/>
        <w:rPr>
          <w:sz w:val="20"/>
          <w:szCs w:val="20"/>
          <w:color w:val="auto"/>
        </w:rPr>
      </w:pPr>
    </w:p>
    <w:p>
      <w:pPr>
        <w:jc w:val="both"/>
        <w:ind w:firstLine="190"/>
        <w:spacing w:after="0" w:line="270" w:lineRule="auto"/>
        <w:rPr>
          <w:sz w:val="20"/>
          <w:szCs w:val="20"/>
          <w:color w:val="auto"/>
        </w:rPr>
      </w:pPr>
      <w:r>
        <w:rPr>
          <w:rFonts w:ascii="Times New Roman" w:cs="Times New Roman" w:eastAsia="Times New Roman" w:hAnsi="Times New Roman"/>
          <w:sz w:val="17"/>
          <w:szCs w:val="17"/>
          <w:color w:val="auto"/>
        </w:rPr>
        <w:t>The estimated value of market-based restricted stock awards granted to employees during the fiscal years ended March 31, 2025, 2024, and 2023 was $241.52, $195.85, and $179.93 per share, respectively. For the fiscal years ended March 31, 2025, 2024, and 2023, the estimated value of the market-based restricted stock awards granted to ZMC was $232.00, $193.41, and $175.12 per share, respectively.</w:t>
      </w:r>
    </w:p>
    <w:p>
      <w:pPr>
        <w:spacing w:after="0" w:line="101" w:lineRule="exact"/>
        <w:rPr>
          <w:sz w:val="20"/>
          <w:szCs w:val="20"/>
          <w:color w:val="auto"/>
        </w:rPr>
      </w:pPr>
    </w:p>
    <w:p>
      <w:pPr>
        <w:jc w:val="both"/>
        <w:ind w:firstLine="177"/>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activity in non-vested restricted stock units to employees and ZMC under our stock-based compensation plans with market-based restricted stock awards presented at 100% of target number of shares that may potentially vest: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30"/>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 Fair</w:t>
            </w:r>
          </w:p>
        </w:tc>
      </w:tr>
      <w:tr>
        <w:trPr>
          <w:trHeight w:val="153"/>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351"/>
              <w:spacing w:after="0" w:line="15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82"/>
              <w:spacing w:after="0" w:line="153" w:lineRule="exact"/>
              <w:rPr>
                <w:sz w:val="20"/>
                <w:szCs w:val="20"/>
                <w:color w:val="auto"/>
              </w:rPr>
            </w:pPr>
            <w:r>
              <w:rPr>
                <w:rFonts w:ascii="Times New Roman" w:cs="Times New Roman" w:eastAsia="Times New Roman" w:hAnsi="Times New Roman"/>
                <w:sz w:val="14"/>
                <w:szCs w:val="14"/>
                <w:b w:val="1"/>
                <w:bCs w:val="1"/>
                <w:color w:val="auto"/>
                <w:w w:val="93"/>
              </w:rPr>
              <w:t>Value on</w:t>
            </w:r>
          </w:p>
        </w:tc>
      </w:tr>
      <w:tr>
        <w:trPr>
          <w:trHeight w:val="188"/>
        </w:trPr>
        <w:tc>
          <w:tcPr>
            <w:tcW w:w="7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218"/>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March 31, 2024</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172.66</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237.79</w:t>
            </w:r>
          </w:p>
        </w:tc>
      </w:tr>
      <w:tr>
        <w:trPr>
          <w:trHeight w:val="219"/>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197.59</w:t>
            </w:r>
          </w:p>
        </w:tc>
      </w:tr>
      <w:tr>
        <w:trPr>
          <w:trHeight w:val="21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197.29</w:t>
            </w:r>
          </w:p>
        </w:tc>
      </w:tr>
      <w:tr>
        <w:trPr>
          <w:trHeight w:val="237"/>
        </w:trPr>
        <w:tc>
          <w:tcPr>
            <w:tcW w:w="7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March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194.30</w:t>
            </w:r>
          </w:p>
        </w:tc>
      </w:tr>
      <w:tr>
        <w:trPr>
          <w:trHeight w:val="20"/>
        </w:trPr>
        <w:tc>
          <w:tcPr>
            <w:tcW w:w="7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Awards</w:t>
      </w:r>
    </w:p>
    <w:p>
      <w:pPr>
        <w:spacing w:after="0" w:line="157"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7"/>
          <w:szCs w:val="17"/>
          <w:color w:val="auto"/>
        </w:rPr>
        <w:t>The estimated value of performance-based restricted stock awards granted to employees during the fiscal year ended March 31, 2025, 2024, and 2023 was $201.82, $139.21, and $125.03, respectively. For the fiscal years ended March 31, 2025, 2024, and 2023, the estimated value of the performance-based restricted stock awards granted to ZMC was $150.40, $148.42, and $125.90 per share, respectively.</w:t>
      </w:r>
    </w:p>
    <w:p>
      <w:pPr>
        <w:spacing w:after="0" w:line="8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activity in non-vested restricted stock units to employees and ZMC under our stock-based compensation plans with performance restricted stock awards presented at 100% of target number of shares that may potentially vest: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30"/>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 Fair</w:t>
            </w:r>
          </w:p>
        </w:tc>
      </w:tr>
      <w:tr>
        <w:trPr>
          <w:trHeight w:val="153"/>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351"/>
              <w:spacing w:after="0" w:line="15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82"/>
              <w:spacing w:after="0" w:line="153" w:lineRule="exact"/>
              <w:rPr>
                <w:sz w:val="20"/>
                <w:szCs w:val="20"/>
                <w:color w:val="auto"/>
              </w:rPr>
            </w:pPr>
            <w:r>
              <w:rPr>
                <w:rFonts w:ascii="Times New Roman" w:cs="Times New Roman" w:eastAsia="Times New Roman" w:hAnsi="Times New Roman"/>
                <w:sz w:val="14"/>
                <w:szCs w:val="14"/>
                <w:b w:val="1"/>
                <w:bCs w:val="1"/>
                <w:color w:val="auto"/>
                <w:w w:val="93"/>
              </w:rPr>
              <w:t>Value on</w:t>
            </w:r>
          </w:p>
        </w:tc>
      </w:tr>
      <w:tr>
        <w:trPr>
          <w:trHeight w:val="188"/>
        </w:trPr>
        <w:tc>
          <w:tcPr>
            <w:tcW w:w="7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218"/>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March 31, 2024</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113.58</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178.52</w:t>
            </w:r>
          </w:p>
        </w:tc>
      </w:tr>
      <w:tr>
        <w:trPr>
          <w:trHeight w:val="219"/>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131.99</w:t>
            </w:r>
          </w:p>
        </w:tc>
      </w:tr>
      <w:tr>
        <w:trPr>
          <w:trHeight w:val="21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136.95</w:t>
            </w:r>
          </w:p>
        </w:tc>
      </w:tr>
      <w:tr>
        <w:trPr>
          <w:trHeight w:val="237"/>
        </w:trPr>
        <w:tc>
          <w:tcPr>
            <w:tcW w:w="7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March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115.40</w:t>
            </w:r>
          </w:p>
        </w:tc>
      </w:tr>
      <w:tr>
        <w:trPr>
          <w:trHeight w:val="20"/>
        </w:trPr>
        <w:tc>
          <w:tcPr>
            <w:tcW w:w="7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Stock Options</w:t>
      </w:r>
    </w:p>
    <w:p>
      <w:pPr>
        <w:spacing w:after="0" w:line="15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All Converted Options generally vest over four to five years, with 20% to 25% vesting after one year and the remainder vesting monthly thereafter over 26 to 48 months, respectively. The stock options have a contract term of 10 years and the related expense is determined using the Black-Scholes option pricing model on the date of grant.</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stock option activity for the fiscal year ended March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1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Aggregate Intrinsic Value of</w:t>
            </w:r>
          </w:p>
        </w:tc>
        <w:tc>
          <w:tcPr>
            <w:tcW w:w="1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83"/>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 on</w:t>
            </w:r>
          </w:p>
        </w:tc>
        <w:tc>
          <w:tcPr>
            <w:tcW w:w="4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Stock Options Outstanding</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Contractual Term (In Years)</w:t>
            </w:r>
          </w:p>
        </w:tc>
        <w:tc>
          <w:tcPr>
            <w:tcW w:w="0" w:type="dxa"/>
            <w:vAlign w:val="bottom"/>
          </w:tcPr>
          <w:p>
            <w:pPr>
              <w:spacing w:after="0"/>
              <w:rPr>
                <w:sz w:val="1"/>
                <w:szCs w:val="1"/>
                <w:color w:val="auto"/>
              </w:rPr>
            </w:pPr>
          </w:p>
        </w:tc>
      </w:tr>
      <w:tr>
        <w:trPr>
          <w:trHeight w:val="217"/>
        </w:trPr>
        <w:tc>
          <w:tcPr>
            <w:tcW w:w="4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50.50</w:t>
            </w:r>
          </w:p>
        </w:tc>
        <w:tc>
          <w:tcPr>
            <w:tcW w:w="72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1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50.03</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44.33</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33.62</w:t>
            </w:r>
          </w:p>
        </w:tc>
        <w:tc>
          <w:tcPr>
            <w:tcW w:w="72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As of March 31, 2025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options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33.62</w:t>
            </w:r>
          </w:p>
        </w:tc>
        <w:tc>
          <w:tcPr>
            <w:tcW w:w="72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4.69</w:t>
            </w:r>
          </w:p>
        </w:tc>
        <w:tc>
          <w:tcPr>
            <w:tcW w:w="0" w:type="dxa"/>
            <w:vAlign w:val="bottom"/>
          </w:tcPr>
          <w:p>
            <w:pPr>
              <w:spacing w:after="0"/>
              <w:rPr>
                <w:sz w:val="1"/>
                <w:szCs w:val="1"/>
                <w:color w:val="auto"/>
              </w:rPr>
            </w:pPr>
          </w:p>
        </w:tc>
      </w:tr>
      <w:tr>
        <w:trPr>
          <w:trHeight w:val="227"/>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Vested and expected to vest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tcPr>
          <w:p>
            <w:pPr>
              <w:jc w:val="right"/>
              <w:ind w:right="521"/>
              <w:spacing w:after="0"/>
              <w:rPr>
                <w:sz w:val="20"/>
                <w:szCs w:val="20"/>
                <w:color w:val="auto"/>
              </w:rPr>
            </w:pPr>
            <w:r>
              <w:rPr>
                <w:rFonts w:ascii="Times New Roman" w:cs="Times New Roman" w:eastAsia="Times New Roman" w:hAnsi="Times New Roman"/>
                <w:sz w:val="17"/>
                <w:szCs w:val="17"/>
                <w:b w:val="1"/>
                <w:bCs w:val="1"/>
                <w:color w:val="auto"/>
              </w:rPr>
              <w:t>— $</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aggregate intrinsic value of stock options exercised during the fiscal year ended March 31, 2025 was $93.3. For the fiscal year ended March 31, 2025, the amount of cash received from exercise of stock options was $31.3. The total fair value of options that vested during the fiscal year ended March 31, 2025 was $31.3. The total fair value of options that were exercised during the fiscal year ended March 31, 2025 was $124.6.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Plans</w:t>
      </w:r>
    </w:p>
    <w:p>
      <w:pPr>
        <w:spacing w:after="0" w:line="157" w:lineRule="exact"/>
        <w:rPr>
          <w:sz w:val="20"/>
          <w:szCs w:val="20"/>
          <w:color w:val="auto"/>
        </w:rPr>
      </w:pPr>
    </w:p>
    <w:p>
      <w:pPr>
        <w:jc w:val="both"/>
        <w:ind w:firstLine="219"/>
        <w:spacing w:after="0" w:line="260" w:lineRule="auto"/>
        <w:rPr>
          <w:sz w:val="20"/>
          <w:szCs w:val="20"/>
          <w:color w:val="auto"/>
        </w:rPr>
      </w:pPr>
      <w:r>
        <w:rPr>
          <w:rFonts w:ascii="Times New Roman" w:cs="Times New Roman" w:eastAsia="Times New Roman" w:hAnsi="Times New Roman"/>
          <w:sz w:val="17"/>
          <w:szCs w:val="17"/>
          <w:color w:val="auto"/>
        </w:rPr>
        <w:t>In September 2017, our stockholders approved our 2017 Global Employee Stock Purchase Plan as amended and restated ("ESPP"). The maximum aggregate number of shares of common stock that may be issued under the plan is 9.0, and as of March 31, 2025, there were approximately 7.5 shares available for issuance. The ESPP is administered by the Compensation Committee of the Board and allows for eligible employees an option to purchase shares of our common stock, which the employee may or may not exercise during an offering period. Eligible employees may authorize payroll deductions of between 1% and 15% of their compensation to purchase shares of common stock at 85% of the lower of the market price of our common stock on the date of commencement of the applicable offering period or on the last day of each six-month purchase period.</w:t>
      </w:r>
    </w:p>
    <w:p>
      <w:pPr>
        <w:spacing w:after="0" w:line="96"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17"/>
          <w:szCs w:val="17"/>
          <w:color w:val="auto"/>
        </w:rPr>
        <w:t>The fair value is determined using the Black-Scholes valuation model. Key assumptions of the Black-Scholes valuation model are the risk-free interest rate, expected volatility, expected term, and expected dividends. The risk-free interest rate is based on U.S. Treasury yields in effect at the time of grant for the expected term of the option. Expected volatility is based on historical stock price volatility. Expected term is determined based on historical exercise behavior, post-vesting termination patterns, options outstanding and future expected exercise behavior. The following table summarizes the assumptions used in the Black-Scholes valuation model to value our purchase rights:</w:t>
      </w:r>
    </w:p>
    <w:p>
      <w:pPr>
        <w:spacing w:after="0" w:line="16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200" w:type="dxa"/>
            <w:vAlign w:val="bottom"/>
            <w:gridSpan w:val="2"/>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4.42-5.43%</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5.14-5.51%</w:t>
            </w:r>
          </w:p>
        </w:tc>
      </w:tr>
      <w:tr>
        <w:trPr>
          <w:trHeight w:val="219"/>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23.6-25.1%</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26.3%-39.1%</w:t>
            </w:r>
          </w:p>
        </w:tc>
      </w:tr>
      <w:tr>
        <w:trPr>
          <w:trHeight w:val="219"/>
        </w:trPr>
        <w:tc>
          <w:tcPr>
            <w:tcW w:w="8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service period (years)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r>
      <w:tr>
        <w:trPr>
          <w:trHeight w:val="227"/>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Dividends</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None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04" w:name="page105"/>
    <w:bookmarkEnd w:id="104"/>
    <w:p>
      <w:pPr>
        <w:jc w:val="both"/>
        <w:ind w:firstLine="172"/>
        <w:spacing w:after="0" w:line="287" w:lineRule="auto"/>
        <w:rPr>
          <w:sz w:val="20"/>
          <w:szCs w:val="20"/>
          <w:color w:val="auto"/>
        </w:rPr>
      </w:pPr>
      <w:r>
        <w:rPr>
          <w:rFonts w:ascii="Times New Roman" w:cs="Times New Roman" w:eastAsia="Times New Roman" w:hAnsi="Times New Roman"/>
          <w:sz w:val="17"/>
          <w:szCs w:val="17"/>
          <w:color w:val="auto"/>
        </w:rPr>
        <w:t>For the fiscal year ended March 31, 2025, our employees purchased 0.4 shares for $46.8 with a weighted-average fair value of $117.53. For the fiscal year ended March 31, 2024, our employees purchased 0.4 shares for $37.9 with a weighted-average fair value of $102.19.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INTEREST AND OTHER, NET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11"/>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6"/>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(167.3)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exchange gain (loss)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net</w:t>
            </w:r>
          </w:p>
        </w:tc>
        <w:tc>
          <w:tcPr>
            <w:tcW w:w="1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18.  ACCUMULATED OTHER COMPREHENSIVE LOSS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The following table provides the components of Accumulated other comprehensive loss: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00" w:type="dxa"/>
            <w:vAlign w:val="bottom"/>
          </w:tcPr>
          <w:p>
            <w:pPr>
              <w:spacing w:after="0"/>
              <w:rPr>
                <w:sz w:val="11"/>
                <w:szCs w:val="11"/>
                <w:color w:val="auto"/>
              </w:rPr>
            </w:pPr>
          </w:p>
        </w:tc>
        <w:tc>
          <w:tcPr>
            <w:tcW w:w="96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loss 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available-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00" w:type="dxa"/>
            <w:vAlign w:val="bottom"/>
          </w:tcPr>
          <w:p>
            <w:pPr>
              <w:spacing w:after="0"/>
              <w:rPr>
                <w:sz w:val="12"/>
                <w:szCs w:val="12"/>
                <w:color w:val="auto"/>
              </w:rPr>
            </w:pPr>
          </w:p>
        </w:tc>
        <w:tc>
          <w:tcPr>
            <w:tcW w:w="9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for-sales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(113.3)</w:t>
            </w:r>
          </w:p>
        </w:tc>
        <w:tc>
          <w:tcPr>
            <w:tcW w:w="0" w:type="dxa"/>
            <w:vAlign w:val="bottom"/>
          </w:tcPr>
          <w:p>
            <w:pPr>
              <w:spacing w:after="0"/>
              <w:rPr>
                <w:sz w:val="1"/>
                <w:szCs w:val="1"/>
                <w:color w:val="auto"/>
              </w:rPr>
            </w:pPr>
          </w:p>
        </w:tc>
      </w:tr>
      <w:tr>
        <w:trPr>
          <w:trHeight w:val="219"/>
        </w:trPr>
        <w:tc>
          <w:tcPr>
            <w:tcW w:w="6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(105.1)</w:t>
            </w:r>
          </w:p>
        </w:tc>
        <w:tc>
          <w:tcPr>
            <w:tcW w:w="0" w:type="dxa"/>
            <w:vAlign w:val="bottom"/>
          </w:tcPr>
          <w:p>
            <w:pPr>
              <w:spacing w:after="0"/>
              <w:rPr>
                <w:sz w:val="1"/>
                <w:szCs w:val="1"/>
                <w:color w:val="auto"/>
              </w:rPr>
            </w:pPr>
          </w:p>
        </w:tc>
      </w:tr>
      <w:tr>
        <w:trPr>
          <w:trHeight w:val="219"/>
        </w:trPr>
        <w:tc>
          <w:tcPr>
            <w:tcW w:w="6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2025</w:t>
            </w:r>
          </w:p>
        </w:tc>
        <w:tc>
          <w:tcPr>
            <w:tcW w:w="1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(96.9)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19.  SUPPLEMENTARY FINANCIAL INFORMATION</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The following table provides details of our valuation and qualifying accounts: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60" w:type="dxa"/>
            <w:vAlign w:val="bottom"/>
          </w:tcPr>
          <w:p>
            <w:pPr>
              <w:spacing w:after="0"/>
              <w:rPr>
                <w:sz w:val="24"/>
                <w:szCs w:val="24"/>
                <w:color w:val="auto"/>
              </w:rPr>
            </w:pPr>
          </w:p>
        </w:tc>
        <w:tc>
          <w:tcPr>
            <w:tcW w:w="11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6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87"/>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6"/>
                <w:szCs w:val="16"/>
                <w:color w:val="auto"/>
              </w:rPr>
            </w:pPr>
          </w:p>
        </w:tc>
        <w:tc>
          <w:tcPr>
            <w:tcW w:w="1180" w:type="dxa"/>
            <w:vAlign w:val="bottom"/>
            <w:gridSpan w:val="6"/>
            <w:vMerge w:val="continue"/>
          </w:tcPr>
          <w:p>
            <w:pPr>
              <w:spacing w:after="0"/>
              <w:rPr>
                <w:sz w:val="16"/>
                <w:szCs w:val="16"/>
                <w:color w:val="auto"/>
              </w:rPr>
            </w:pPr>
          </w:p>
        </w:tc>
        <w:tc>
          <w:tcPr>
            <w:tcW w:w="106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7"/>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Fiscal Year Ended March 31, 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Valuation allowance for 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799.1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Fiscal Year Ended March 31, 2024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Valuation allowance for 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Fiscal Year Ended March 31, 2023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 for deferred income taxes</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ACQUISITIONS</w:t>
      </w:r>
    </w:p>
    <w:p>
      <w:pPr>
        <w:spacing w:after="0" w:line="15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June 11, 2024, we completed the purchase of 100% of the issued and outstanding capital stock of The Gearbox Entertainment Company, Inc. ("Gearbox"), from Embracer Group AB, for an initial consideration of 2.8 shares of our common stock, as part of our ongoing strategy to strengthen our industry-leading creative talent and portfolio of owned intellectual property.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5" w:name="page106"/>
    <w:bookmarkEnd w:id="105"/>
    <w:p>
      <w:pPr>
        <w:ind w:left="620"/>
        <w:spacing w:after="0"/>
        <w:rPr>
          <w:sz w:val="20"/>
          <w:szCs w:val="20"/>
          <w:color w:val="auto"/>
        </w:rPr>
      </w:pPr>
      <w:r>
        <w:rPr>
          <w:rFonts w:ascii="Times New Roman" w:cs="Times New Roman" w:eastAsia="Times New Roman" w:hAnsi="Times New Roman"/>
          <w:sz w:val="17"/>
          <w:szCs w:val="17"/>
          <w:color w:val="auto"/>
        </w:rPr>
        <w:t>The acquisition-date fair value of the consideration totaled $410.4, which consisted of the following:</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Fair value of pur</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consideratio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5715</wp:posOffset>
            </wp:positionV>
            <wp:extent cx="6805930" cy="147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1">
                      <a:extLst>
                        <a:ext uri="{28A0092B-C50C-407E-A947-70E740481C1C}"/>
                      </a:extLst>
                    </a:blip>
                    <a:srcRect/>
                    <a:stretch>
                      <a:fillRect/>
                    </a:stretch>
                  </pic:blipFill>
                  <pic:spPr bwMode="auto">
                    <a:xfrm>
                      <a:off x="0" y="0"/>
                      <a:ext cx="6805930" cy="14732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Common stock (2.8 shares)</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Deferred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2">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Settlement of pre-existing relationship</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Transaction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3">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13" w:lineRule="exact"/>
        <w:rPr>
          <w:sz w:val="20"/>
          <w:szCs w:val="20"/>
          <w:color w:val="auto"/>
        </w:rPr>
      </w:pPr>
    </w:p>
    <w:p>
      <w:pPr>
        <w:ind w:left="640"/>
        <w:spacing w:after="0"/>
        <w:tabs>
          <w:tab w:leader="none" w:pos="1000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41910</wp:posOffset>
            </wp:positionV>
            <wp:extent cx="8464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We used the acquisition method of accounting and recognized assets and liabilities at their fair value as of the date of acquisition, with the excess recorded to goodwill. As we finalize our estimation of the fair value of the assets acquired and liabilities assumed, additional adjustments may be recorded during the measurement period (a period not to exceed 12 months from the acquisition date). The following table summarizes the preliminary acquisition date fair value of net tangible and intangible assets acquired, net of liabilities assumed from Gearbox:</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 average useful</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life</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acquired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assumed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Developed game technology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Games in development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Game engine technology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Branding and trade names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410.4</w:t>
            </w: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Goodwill, which is not deductible for tax purposes, is primarily attributable to the assembled workforce of the acquired business and expected synergies at the time of the acquisition.</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of revenue and earnings of Gearbox included in our Consolidated Statements of Operations from the acquisition date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Fiscal year ended March 31, 2025</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r>
    </w:tbl>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pro-forma financial information has not been provided as the historical results of Gearbox were not material to us.</w:t>
      </w:r>
    </w:p>
    <w:p>
      <w:pPr>
        <w:spacing w:after="0" w:line="153"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Transaction costs of $30.4 for the fiscal year ended March 31, 2025 have been recorded within General and administrative expense in our Consolidated Statements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00"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21. BUSINESS REORGANIZATION</w:t>
      </w:r>
    </w:p>
    <w:p>
      <w:pPr>
        <w:spacing w:after="0" w:line="144"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We have implemented a cost reduction program to identify efficiencies across our business (the "2024 Plan"), which includes eliminating several projects in development and streamlining our organizational structure. The 2024 Plan was largely completed as of March 31, 2025, and we do not anticipate any additional actions from this plan. Immaterial, additional costs relating to certain actions may be incurred during the fiscal year ending 2026.</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incurred business reorganization expenses of $106.5, $104.6, and $14.6 during the fiscal year ended March 31, 2025, 2024, and 2023, respectively.</w:t>
      </w:r>
    </w:p>
    <w:p>
      <w:pPr>
        <w:spacing w:after="0" w:line="153"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connection with the 2024 Plan, we incurred the following expenses:</w:t>
            </w: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3"/>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w w:val="99"/>
              </w:rPr>
              <w:t>Fiscal Year Ended March 31,</w:t>
            </w:r>
          </w:p>
        </w:tc>
      </w:tr>
      <w:tr>
        <w:trPr>
          <w:trHeight w:val="212"/>
        </w:trPr>
        <w:tc>
          <w:tcPr>
            <w:tcW w:w="6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1400" w:type="dxa"/>
            <w:vAlign w:val="bottom"/>
            <w:shd w:val="clear" w:color="auto" w:fill="CCEEFF"/>
          </w:tcPr>
          <w:p>
            <w:pPr>
              <w:jc w:val="right"/>
              <w:ind w:right="12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73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6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Title cancellations </w:t>
            </w:r>
            <w:r>
              <w:rPr>
                <w:rFonts w:ascii="Times New Roman" w:cs="Times New Roman" w:eastAsia="Times New Roman" w:hAnsi="Times New Roman"/>
                <w:sz w:val="22"/>
                <w:szCs w:val="22"/>
                <w:color w:val="auto"/>
                <w:vertAlign w:val="superscript"/>
              </w:rPr>
              <w:t>(1)</w:t>
            </w:r>
          </w:p>
        </w:tc>
        <w:tc>
          <w:tcPr>
            <w:tcW w:w="1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divestitures</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Impairment loss of ROU asset (office closures)</w:t>
            </w:r>
          </w:p>
        </w:tc>
        <w:tc>
          <w:tcPr>
            <w:tcW w:w="1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2"/>
        </w:trPr>
        <w:tc>
          <w:tcPr>
            <w:tcW w:w="6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business reorganization expenses</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1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106.5</w:t>
            </w:r>
          </w:p>
        </w:tc>
        <w:tc>
          <w:tcPr>
            <w:tcW w:w="10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ind w:right="1734"/>
              <w:spacing w:after="0"/>
              <w:rPr>
                <w:sz w:val="20"/>
                <w:szCs w:val="20"/>
                <w:color w:val="auto"/>
              </w:rPr>
            </w:pPr>
            <w:r>
              <w:rPr>
                <w:rFonts w:ascii="Times New Roman" w:cs="Times New Roman" w:eastAsia="Times New Roman" w:hAnsi="Times New Roman"/>
                <w:sz w:val="17"/>
                <w:szCs w:val="17"/>
                <w:b w:val="1"/>
                <w:bCs w:val="1"/>
                <w:color w:val="auto"/>
                <w:w w:val="93"/>
              </w:rPr>
              <w:t>$</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80" w:hanging="177"/>
        <w:spacing w:after="0"/>
        <w:tabs>
          <w:tab w:leader="none" w:pos="18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7 - Software Development Costs and Licenses</w:t>
      </w:r>
    </w:p>
    <w:p>
      <w:pPr>
        <w:spacing w:after="0" w:line="122"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Through March 31, 2025 and 2024, respectively, we paid $62.9 and $1.9, related to these reorganization activities and $11.2 and $13.1 remained accrued for in Accrued expenses and other current liabilities.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SEGMENT REPORTING AND GEOGRAPHIC INFORMATION</w:t>
      </w:r>
    </w:p>
    <w:p>
      <w:pPr>
        <w:spacing w:after="0" w:line="157" w:lineRule="exact"/>
        <w:rPr>
          <w:sz w:val="20"/>
          <w:szCs w:val="20"/>
          <w:color w:val="auto"/>
        </w:rPr>
      </w:pPr>
    </w:p>
    <w:p>
      <w:pPr>
        <w:jc w:val="both"/>
        <w:ind w:right="100" w:firstLine="619"/>
        <w:spacing w:after="0" w:line="258" w:lineRule="auto"/>
        <w:rPr>
          <w:sz w:val="20"/>
          <w:szCs w:val="20"/>
          <w:color w:val="auto"/>
        </w:rPr>
      </w:pPr>
      <w:r>
        <w:rPr>
          <w:rFonts w:ascii="Times New Roman" w:cs="Times New Roman" w:eastAsia="Times New Roman" w:hAnsi="Times New Roman"/>
          <w:sz w:val="17"/>
          <w:szCs w:val="17"/>
          <w:color w:val="auto"/>
        </w:rPr>
        <w:t>We have one operating and reportable segment. Our operations involve similar products and customers worldwide. Revenue earned is primarily derived from the sale of software titles, which are internally developed and developed by third parties. Our Chief Executive Officer, who is our Chief Operating Decision Maker ("CODM"), manages our operations on a consolidated basis. Our CODM uses consolidated net income (loss) – supplemented by sales information by product category, major product title, and platform – for the purpose of evaluating performance and allocating resources. All significant expense categories are presented on our Consolidated Statements of Operations. Our other segment items include Goodwill impairment, Depreciation and amortization, Business reorganization, Interest and other, net, Loss on fair value adjustments, net, and (Benefit from) provision for income taxes. The measure of segment assets are reported on the Consolidated Balance Sheet as Total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attribute net revenue to geographic regions based on software product destination. Net revenue by geographic region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recognized:</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3,406.8</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3,279.2</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3,360.0</w:t>
            </w:r>
          </w:p>
        </w:tc>
      </w:tr>
      <w:tr>
        <w:trPr>
          <w:trHeight w:val="21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1,989.9</w:t>
            </w:r>
          </w:p>
        </w:tc>
      </w:tr>
      <w:tr>
        <w:trPr>
          <w:trHeight w:val="212"/>
        </w:trPr>
        <w:tc>
          <w:tcPr>
            <w:tcW w:w="5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5,633.6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5,349.6</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5,349.9</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96" w:right="239" w:bottom="1440" w:gutter="0" w:footer="0" w:header="0"/>
        </w:sectPr>
      </w:pPr>
    </w:p>
    <w:bookmarkStart w:id="107" w:name="page108"/>
    <w:bookmarkEnd w:id="107"/>
    <w:p>
      <w:pPr>
        <w:ind w:left="620"/>
        <w:spacing w:after="0"/>
        <w:rPr>
          <w:sz w:val="20"/>
          <w:szCs w:val="20"/>
          <w:color w:val="auto"/>
        </w:rPr>
      </w:pPr>
      <w:r>
        <w:rPr>
          <w:rFonts w:ascii="Times New Roman" w:cs="Times New Roman" w:eastAsia="Times New Roman" w:hAnsi="Times New Roman"/>
          <w:sz w:val="17"/>
          <w:szCs w:val="17"/>
          <w:color w:val="auto"/>
        </w:rPr>
        <w:t>The following represents our fixed assets, net by location:</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Pr>
          <w:p>
            <w:pPr>
              <w:spacing w:after="0"/>
              <w:rPr>
                <w:sz w:val="15"/>
                <w:szCs w:val="15"/>
                <w:color w:val="auto"/>
              </w:rPr>
            </w:pPr>
          </w:p>
        </w:tc>
      </w:tr>
      <w:tr>
        <w:trPr>
          <w:trHeight w:val="22"/>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7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Fixed assets, net: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7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263.5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w:t>
            </w:r>
          </w:p>
        </w:tc>
      </w:tr>
      <w:tr>
        <w:trPr>
          <w:trHeight w:val="219"/>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r>
      <w:tr>
        <w:trPr>
          <w:trHeight w:val="212"/>
        </w:trPr>
        <w:tc>
          <w:tcPr>
            <w:tcW w:w="7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Fixed assets, net</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443.8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411.1</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of Senior Notes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April 14, 2025, we repaid our 2025 Notes with a principal amount of $600.0, with proceeds from the New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to 2022 Credit Agreement</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May 19, 2025, we entered into Amendment No. 3 (the "Amendment") to our 2022 Credit Agreement (as amended, the "Amended 2022 Credit Agreement"), which increases the commitments to the revolving credit facility under the existing 2022 Credit Agreement (the “Revolving Credit Facility”) to $1,000, (up from $750 under the existing 2022 Credit Agreement), with sublimits for (a) the issuance of letters of credit in an aggregate face amount of up to $100 and (b) borrowings and letters of credit denominated in Pounds Sterling, Euros and Canadian Dollars in an aggregate face amount of up to $200. The Amended 2022 Credit Agreement will continue to provide uncommitted incremental capacity permitting the incurrence of up to an additional amount not to exceed the greater of $250 and 35% of the Company’s Consolidated Adjusted EBITDA (as defined in the Amended 2022 Credit Agreement).</w:t>
      </w:r>
    </w:p>
    <w:p>
      <w:pPr>
        <w:spacing w:after="0" w:line="10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Amendment, the maturity date was extended to May 19, 2030, but retains the extension option permitting the Company, subject to certain requirements, to arrange to extend the Revolving Credit Facility for an additional one-year term which may be exercised no more than two times under the Amended 2022 Credit Agreement.</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Revolving Credit Facility continues to bear interest at the election of the company at a margin of (a) 0.000% to 0.625% above an alternate base rate (defined on the basis of prime rate) or (b) 1.000% to 1.625% above the SOFR Rate, which margins are determined by reference to the Company’s credit rating.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sale program</w:t>
      </w:r>
    </w:p>
    <w:p>
      <w:pPr>
        <w:spacing w:after="0" w:line="15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19, 2025, we entered into arrangements to sell designated pools of high credit quality accounts receivable under an uncommitted accounts receivable sale programs to an unaffiliated financial institution on a true sale basis. As these accounts receivable are sold without recourse, we do not retain the associated risks of lack of payment due to insolvency of the account debtors following the transfer of such accounts receivable to such financial institution. We will derecognize the carrying value of the financial assets transferred and recognize a net gain or loss on the sale. The proceeds from these arrangements are reflected as cash provided by operating activities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32" w:lineRule="exact"/>
        <w:rPr>
          <w:sz w:val="20"/>
          <w:szCs w:val="20"/>
          <w:color w:val="auto"/>
        </w:rPr>
      </w:pPr>
    </w:p>
    <w:p>
      <w:pPr>
        <w:ind w:left="6240"/>
        <w:spacing w:after="0"/>
        <w:tabs>
          <w:tab w:leader="none" w:pos="67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7832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8">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Strauss Zelnick</w:t>
      </w:r>
    </w:p>
    <w:p>
      <w:pPr>
        <w:ind w:left="678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2025</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Each individual whose signature appears below constitutes and appoints Strauss Zelnick and Lainie Goldstein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3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in the capacities and on the date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398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1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r>
        <w:trPr>
          <w:trHeight w:val="341"/>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STRAUSS ZELNICK</w:t>
            </w:r>
          </w:p>
        </w:tc>
        <w:tc>
          <w:tcPr>
            <w:tcW w:w="10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 (Principal</w:t>
            </w:r>
          </w:p>
        </w:tc>
        <w:tc>
          <w:tcPr>
            <w:tcW w:w="3120" w:type="dxa"/>
            <w:vAlign w:val="bottom"/>
          </w:tcPr>
          <w:p>
            <w:pPr>
              <w:spacing w:after="0"/>
              <w:rPr>
                <w:sz w:val="24"/>
                <w:szCs w:val="24"/>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Strauss Zelnick</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Officer)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357"/>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LAINIE GOLDSTEIN</w:t>
            </w:r>
          </w:p>
        </w:tc>
        <w:tc>
          <w:tcPr>
            <w:tcW w:w="10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and</w:t>
            </w:r>
          </w:p>
        </w:tc>
        <w:tc>
          <w:tcPr>
            <w:tcW w:w="3120" w:type="dxa"/>
            <w:vAlign w:val="bottom"/>
          </w:tcPr>
          <w:p>
            <w:pPr>
              <w:spacing w:after="0"/>
              <w:rPr>
                <w:sz w:val="24"/>
                <w:szCs w:val="24"/>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Lainie Goldstein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LAVERNE SRINIVASAN</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LaVerne Srinivasan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DORNEMANN</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Dornemann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WILLIAM "BING" GORDON</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William "Bing" Gordon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ROLAND HERNANDEZ</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Roland Hernandez</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 MOSES</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 Moses</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SHERESKY</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Sheresky</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ELLEN SIMINOFF</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Ellen Siminoff</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SUSAN TOLSON</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Tolson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PAUL VIERA</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Paul Viera</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May 20, 2025</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99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9"/>
          <w:szCs w:val="19"/>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AMENDMENT NO. 3</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dated as of May 19, 2025, is entered into by and among Take-Two Interactive Software, Inc., a Delaware corporation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JPMORGAN CHASE BANK, N.A. (“</w:t>
      </w:r>
      <w:r>
        <w:rPr>
          <w:rFonts w:ascii="Times New Roman" w:cs="Times New Roman" w:eastAsia="Times New Roman" w:hAnsi="Times New Roman"/>
          <w:sz w:val="19"/>
          <w:szCs w:val="19"/>
          <w:b w:val="1"/>
          <w:bCs w:val="1"/>
          <w:color w:val="auto"/>
        </w:rPr>
        <w:t>JPMCB</w:t>
      </w:r>
      <w:r>
        <w:rPr>
          <w:rFonts w:ascii="Times New Roman" w:cs="Times New Roman" w:eastAsia="Times New Roman" w:hAnsi="Times New Roman"/>
          <w:sz w:val="19"/>
          <w:szCs w:val="19"/>
          <w:color w:val="auto"/>
        </w:rPr>
        <w:t>”), as Administrative Agent (in such capacity, the “</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 and the Lenders party hereto.</w:t>
      </w:r>
    </w:p>
    <w:p>
      <w:pPr>
        <w:spacing w:after="0" w:line="162" w:lineRule="exact"/>
        <w:rPr>
          <w:sz w:val="20"/>
          <w:szCs w:val="20"/>
          <w:color w:val="auto"/>
        </w:rPr>
      </w:pPr>
    </w:p>
    <w:p>
      <w:pPr>
        <w:jc w:val="both"/>
        <w:ind w:firstLine="1238"/>
        <w:spacing w:after="0" w:line="24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Borrower, the financial institutions party thereto as Lenders and the Administrative Agent are party to that certain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Credit Agreement dated as of May 23, 2022 (as amended, supplemented or otherwise modified from time to time prior to the date hereof, the “</w:t>
      </w:r>
      <w:r>
        <w:rPr>
          <w:rFonts w:ascii="Times New Roman" w:cs="Times New Roman" w:eastAsia="Times New Roman" w:hAnsi="Times New Roman"/>
          <w:sz w:val="19"/>
          <w:szCs w:val="19"/>
          <w:b w:val="1"/>
          <w:bCs w:val="1"/>
          <w:color w:val="auto"/>
        </w:rPr>
        <w:t>Existing Credit Agreement</w:t>
      </w:r>
      <w:r>
        <w:rPr>
          <w:rFonts w:ascii="Times New Roman" w:cs="Times New Roman" w:eastAsia="Times New Roman" w:hAnsi="Times New Roman"/>
          <w:sz w:val="19"/>
          <w:szCs w:val="19"/>
          <w:color w:val="auto"/>
        </w:rPr>
        <w:t>” and as amended by this Amendment,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(capitalized terms used herein without definition have the meanings given such terms by the Existing Credit Agreement);</w:t>
      </w:r>
    </w:p>
    <w:p>
      <w:pPr>
        <w:spacing w:after="0" w:line="174"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9"/>
          <w:szCs w:val="19"/>
          <w:color w:val="auto"/>
        </w:rPr>
        <w:t>WHEREAS, JPMCB and Wells Fargo Bank, National Association or its applicable affiliate (“</w:t>
      </w:r>
      <w:r>
        <w:rPr>
          <w:rFonts w:ascii="Times New Roman" w:cs="Times New Roman" w:eastAsia="Times New Roman" w:hAnsi="Times New Roman"/>
          <w:sz w:val="19"/>
          <w:szCs w:val="19"/>
          <w:b w:val="1"/>
          <w:bCs w:val="1"/>
          <w:color w:val="auto"/>
        </w:rPr>
        <w:t>Wells</w:t>
      </w:r>
      <w:r>
        <w:rPr>
          <w:rFonts w:ascii="Times New Roman" w:cs="Times New Roman" w:eastAsia="Times New Roman" w:hAnsi="Times New Roman"/>
          <w:sz w:val="19"/>
          <w:szCs w:val="19"/>
          <w:color w:val="auto"/>
        </w:rPr>
        <w:t>” and, together with JPMCB, the “</w:t>
      </w:r>
      <w:r>
        <w:rPr>
          <w:rFonts w:ascii="Times New Roman" w:cs="Times New Roman" w:eastAsia="Times New Roman" w:hAnsi="Times New Roman"/>
          <w:sz w:val="19"/>
          <w:szCs w:val="19"/>
          <w:b w:val="1"/>
          <w:bCs w:val="1"/>
          <w:u w:val="single" w:color="auto"/>
          <w:color w:val="auto"/>
        </w:rPr>
        <w:t>Amendment No. 3 Arrangers</w:t>
      </w:r>
      <w:r>
        <w:rPr>
          <w:rFonts w:ascii="Times New Roman" w:cs="Times New Roman" w:eastAsia="Times New Roman" w:hAnsi="Times New Roman"/>
          <w:sz w:val="19"/>
          <w:szCs w:val="19"/>
          <w:color w:val="auto"/>
        </w:rPr>
        <w:t>”) are joint lead arrangers and joint bookrunners for this Amendment; and</w:t>
      </w:r>
    </w:p>
    <w:p>
      <w:pPr>
        <w:spacing w:after="0" w:line="148"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Borrower, the Administrative Agent and Lenders constituting the Required Lenders have agreed to amend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Existing Credit Agreement on the terms set forth herein;</w:t>
      </w:r>
    </w:p>
    <w:p>
      <w:pPr>
        <w:spacing w:after="0" w:line="135" w:lineRule="exact"/>
        <w:rPr>
          <w:sz w:val="20"/>
          <w:szCs w:val="20"/>
          <w:color w:val="auto"/>
        </w:rPr>
      </w:pPr>
    </w:p>
    <w:p>
      <w:pPr>
        <w:ind w:right="180" w:firstLine="1238"/>
        <w:spacing w:after="0" w:line="273" w:lineRule="auto"/>
        <w:rPr>
          <w:sz w:val="20"/>
          <w:szCs w:val="20"/>
          <w:color w:val="auto"/>
        </w:rPr>
      </w:pPr>
      <w:r>
        <w:rPr>
          <w:rFonts w:ascii="Times New Roman" w:cs="Times New Roman" w:eastAsia="Times New Roman" w:hAnsi="Times New Roman"/>
          <w:sz w:val="19"/>
          <w:szCs w:val="19"/>
          <w:b w:val="1"/>
          <w:bCs w:val="1"/>
          <w:color w:val="auto"/>
        </w:rPr>
        <w:t>NOW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THEREFORE</w:t>
      </w:r>
      <w:r>
        <w:rPr>
          <w:rFonts w:ascii="Times New Roman" w:cs="Times New Roman" w:eastAsia="Times New Roman" w:hAnsi="Times New Roman"/>
          <w:sz w:val="19"/>
          <w:szCs w:val="19"/>
          <w:color w:val="auto"/>
        </w:rPr>
        <w:t>, in consideration of the premises and agreements, provisions and covenants herein contained and for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good and valuable consideration, the receipt and sufficiency of which are hereby acknowledged, the parties hereto agree as follows:</w:t>
      </w:r>
    </w:p>
    <w:p>
      <w:pPr>
        <w:spacing w:after="0" w:line="148" w:lineRule="exact"/>
        <w:rPr>
          <w:sz w:val="20"/>
          <w:szCs w:val="20"/>
          <w:color w:val="auto"/>
        </w:rPr>
      </w:pPr>
    </w:p>
    <w:p>
      <w:pPr>
        <w:ind w:firstLine="1238"/>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SECTION 1. Defined Terms. </w:t>
      </w:r>
      <w:r>
        <w:rPr>
          <w:rFonts w:ascii="Times New Roman" w:cs="Times New Roman" w:eastAsia="Times New Roman" w:hAnsi="Times New Roman"/>
          <w:sz w:val="19"/>
          <w:szCs w:val="19"/>
          <w:color w:val="auto"/>
        </w:rPr>
        <w:t>Capitalized terms used and not otherwise defined herein have the meanings assigned to them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Credit Agreement.</w:t>
      </w:r>
    </w:p>
    <w:p>
      <w:pPr>
        <w:spacing w:after="0" w:line="135"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19"/>
          <w:szCs w:val="19"/>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Amendments to Existing Credit Agreement.</w:t>
      </w:r>
    </w:p>
    <w:p>
      <w:pPr>
        <w:spacing w:after="0" w:line="224" w:lineRule="exact"/>
        <w:rPr>
          <w:sz w:val="20"/>
          <w:szCs w:val="20"/>
          <w:color w:val="auto"/>
        </w:rPr>
      </w:pPr>
    </w:p>
    <w:p>
      <w:pPr>
        <w:jc w:val="both"/>
        <w:ind w:firstLine="1241"/>
        <w:spacing w:after="0" w:line="259" w:lineRule="auto"/>
        <w:tabs>
          <w:tab w:leader="none" w:pos="1847"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Effective as of the Amendment No. 3 Effective Date (as defined below), the Existing Credit Agreement is hereby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0309F3"/>
        </w:rPr>
        <w:t>double-underlined text</w:t>
      </w:r>
      <w:r>
        <w:rPr>
          <w:rFonts w:ascii="Times New Roman" w:cs="Times New Roman" w:eastAsia="Times New Roman" w:hAnsi="Times New Roman"/>
          <w:sz w:val="19"/>
          <w:szCs w:val="19"/>
          <w:color w:val="auto"/>
        </w:rPr>
        <w:t xml:space="preserve">) as set forth in the conformed copy of the Credit Agreement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w:t>
      </w:r>
    </w:p>
    <w:p>
      <w:pPr>
        <w:spacing w:after="0" w:line="165"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as of the Amendment No. 3 Effective Date, Schedule 2.01 to the Existing Credit Agreement is hereby replaced with Schedule 2.01 to this Amendment.</w:t>
      </w:r>
    </w:p>
    <w:p>
      <w:pPr>
        <w:spacing w:after="0" w:line="151"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SECTION 3. Amendment No. 3 Effective Date. </w:t>
      </w:r>
      <w:r>
        <w:rPr>
          <w:rFonts w:ascii="Times New Roman" w:cs="Times New Roman" w:eastAsia="Times New Roman" w:hAnsi="Times New Roman"/>
          <w:sz w:val="19"/>
          <w:szCs w:val="19"/>
          <w:color w:val="auto"/>
        </w:rPr>
        <w:t>This Amendment shall become effective as of the first date (the “</w:t>
      </w:r>
      <w:r>
        <w:rPr>
          <w:rFonts w:ascii="Times New Roman" w:cs="Times New Roman" w:eastAsia="Times New Roman" w:hAnsi="Times New Roman"/>
          <w:sz w:val="19"/>
          <w:szCs w:val="19"/>
          <w:b w:val="1"/>
          <w:bCs w:val="1"/>
          <w:color w:val="auto"/>
        </w:rPr>
        <w:t>Amendment No. 3 Effective Date</w:t>
      </w:r>
      <w:r>
        <w:rPr>
          <w:rFonts w:ascii="Times New Roman" w:cs="Times New Roman" w:eastAsia="Times New Roman" w:hAnsi="Times New Roman"/>
          <w:sz w:val="19"/>
          <w:szCs w:val="19"/>
          <w:color w:val="auto"/>
        </w:rPr>
        <w:t>”) on which each of the conditions set forth below has been satisfied.</w:t>
      </w:r>
    </w:p>
    <w:p>
      <w:pPr>
        <w:spacing w:after="0" w:line="164" w:lineRule="exact"/>
        <w:rPr>
          <w:sz w:val="20"/>
          <w:szCs w:val="20"/>
          <w:color w:val="auto"/>
        </w:rPr>
      </w:pPr>
    </w:p>
    <w:p>
      <w:pPr>
        <w:ind w:firstLine="1241"/>
        <w:spacing w:after="0" w:line="269" w:lineRule="auto"/>
        <w:tabs>
          <w:tab w:leader="none" w:pos="192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counterpart signature page of this Amendment duly executed by the Borrower, the Administrative Agent and each Lender and Issuing Bank listed on Schedule 2.01.</w:t>
      </w:r>
    </w:p>
    <w:p>
      <w:pPr>
        <w:spacing w:after="0" w:line="167"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4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customary written opinion (addressed to the Administrative Agent and the Lenders and dated as of the Amendment No. 3 Effective Date) of Willkie Farr &amp; Gallagher LLP, counsel for the Borrower, covering customary matters relating to the Borrower, the Loan Documents and the Transactions. The Borrower hereby requests such counsel to deliver such opinion.</w:t>
      </w:r>
    </w:p>
    <w:p>
      <w:pPr>
        <w:sectPr>
          <w:pgSz w:w="11900" w:h="16838" w:orient="portrait"/>
          <w:cols w:equalWidth="0" w:num="1">
            <w:col w:w="11240"/>
          </w:cols>
          <w:pgMar w:left="320" w:top="118" w:right="339" w:bottom="1440" w:gutter="0" w:footer="0" w:header="0"/>
        </w:sectPr>
      </w:pPr>
    </w:p>
    <w:bookmarkStart w:id="110" w:name="page111"/>
    <w:bookmarkEnd w:id="110"/>
    <w:p>
      <w:pPr>
        <w:jc w:val="both"/>
        <w:ind w:firstLine="1241"/>
        <w:spacing w:after="0" w:line="259" w:lineRule="auto"/>
        <w:tabs>
          <w:tab w:leader="none" w:pos="184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certificate, dated as of the Amendment No. 3 Effective Date and signed by the Chief Executive Officer or a Financial Officer of the Borrower, confirming that no Default has occurred and is continuing under the Existing Credit Agreement immediately prior to the Amendment No. 3 Effective Date and that the conditions set forth in Section 4.02 of the Credit Agreement are satisfied on the Amendment No. 3 Effective Date.</w:t>
      </w:r>
    </w:p>
    <w:p>
      <w:pPr>
        <w:spacing w:after="0" w:line="165" w:lineRule="exact"/>
        <w:rPr>
          <w:rFonts w:ascii="Times New Roman" w:cs="Times New Roman" w:eastAsia="Times New Roman" w:hAnsi="Times New Roman"/>
          <w:sz w:val="19"/>
          <w:szCs w:val="19"/>
          <w:color w:val="auto"/>
        </w:rPr>
      </w:pPr>
    </w:p>
    <w:p>
      <w:pPr>
        <w:jc w:val="both"/>
        <w:ind w:firstLine="1241"/>
        <w:spacing w:after="0" w:line="269" w:lineRule="auto"/>
        <w:tabs>
          <w:tab w:leader="none" w:pos="1844"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such documents and certificates relating to the organization, existence and good standing of the Borrower, the authorization of the Transactions and any other legal matters relating to the Borrower, the Loan Documents or the Transactions as it may reasonably request.</w:t>
      </w:r>
    </w:p>
    <w:p>
      <w:pPr>
        <w:spacing w:after="0" w:line="154" w:lineRule="exact"/>
        <w:rPr>
          <w:rFonts w:ascii="Times New Roman" w:cs="Times New Roman" w:eastAsia="Times New Roman" w:hAnsi="Times New Roman"/>
          <w:sz w:val="19"/>
          <w:szCs w:val="19"/>
          <w:color w:val="auto"/>
        </w:rPr>
      </w:pPr>
    </w:p>
    <w:p>
      <w:pPr>
        <w:jc w:val="both"/>
        <w:ind w:firstLine="1241"/>
        <w:spacing w:after="0" w:line="254" w:lineRule="auto"/>
        <w:tabs>
          <w:tab w:leader="none" w:pos="190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all documentation and other information regarding the Borrower requested in connection with applicable “know your customer” and anti-money laundering rules and regulations, including the Patriot Act, to the extent requested in writing of the Borrower prior to the Amendment No. 3 Effective Date and (ii) to the extent the Borrower qualifies as a “legal entity customer” under the Beneficial Ownership Regulation, any Lender that has requested, in a written notice to the Borrower prior to the Amendment No. 3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7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5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the Administrative Agent and the Amendment No. 3 Arrangers shall have received all fees and other amounts due and payable on or prior to the Amendment No. 3 Effective Date, including, to the extent invoiced at least one (1) Business Day prior to the Amendment No. 3 Effective Date, reimbursement or payment of all reasonable out-of-pocket expenses required to be reimbursed or paid by the Borrower under the Credit Agreement.</w:t>
      </w:r>
    </w:p>
    <w:p>
      <w:pPr>
        <w:spacing w:after="0" w:line="175" w:lineRule="exact"/>
        <w:rPr>
          <w:sz w:val="20"/>
          <w:szCs w:val="20"/>
          <w:color w:val="auto"/>
        </w:rPr>
      </w:pPr>
    </w:p>
    <w:p>
      <w:pPr>
        <w:ind w:left="1240"/>
        <w:spacing w:after="0"/>
        <w:tabs>
          <w:tab w:leader="none" w:pos="2500" w:val="left"/>
        </w:tabs>
        <w:rPr>
          <w:sz w:val="20"/>
          <w:szCs w:val="20"/>
          <w:color w:val="auto"/>
        </w:rPr>
      </w:pPr>
      <w:r>
        <w:rPr>
          <w:rFonts w:ascii="Times New Roman" w:cs="Times New Roman" w:eastAsia="Times New Roman" w:hAnsi="Times New Roman"/>
          <w:sz w:val="19"/>
          <w:szCs w:val="19"/>
          <w:b w:val="1"/>
          <w:bCs w:val="1"/>
          <w:color w:val="auto"/>
        </w:rPr>
        <w:t>SECTION 4.</w:t>
        <w:tab/>
        <w:t xml:space="preserve">Representations and Warranties. </w:t>
      </w:r>
      <w:r>
        <w:rPr>
          <w:rFonts w:ascii="Times New Roman" w:cs="Times New Roman" w:eastAsia="Times New Roman" w:hAnsi="Times New Roman"/>
          <w:sz w:val="19"/>
          <w:szCs w:val="19"/>
          <w:color w:val="auto"/>
        </w:rPr>
        <w:t>To induce the Administrative Agent to enter into this Amendment,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 hereby represents and warrants to the other parties hereto on the Amendment No. 3 Effective Date that:</w:t>
      </w:r>
    </w:p>
    <w:p>
      <w:pPr>
        <w:spacing w:after="0" w:line="200" w:lineRule="exact"/>
        <w:rPr>
          <w:sz w:val="20"/>
          <w:szCs w:val="20"/>
          <w:color w:val="auto"/>
        </w:rPr>
      </w:pPr>
    </w:p>
    <w:p>
      <w:pPr>
        <w:jc w:val="both"/>
        <w:ind w:firstLine="1241"/>
        <w:spacing w:after="0" w:line="254" w:lineRule="auto"/>
        <w:tabs>
          <w:tab w:leader="none" w:pos="213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execution, delivery and performance by the Borrower of this Amendment is within the Borrower’s corporate power and has been duly authorized by all necessary corporate action of the Borrower; and (ii) this Amendment has been duly executed and delivered by the Borrower and is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4" w:lineRule="exact"/>
        <w:rPr>
          <w:rFonts w:ascii="Times New Roman" w:cs="Times New Roman" w:eastAsia="Times New Roman" w:hAnsi="Times New Roman"/>
          <w:sz w:val="19"/>
          <w:szCs w:val="19"/>
          <w:color w:val="auto"/>
        </w:rPr>
      </w:pPr>
    </w:p>
    <w:p>
      <w:pPr>
        <w:jc w:val="both"/>
        <w:ind w:firstLine="1241"/>
        <w:spacing w:after="0" w:line="252" w:lineRule="auto"/>
        <w:tabs>
          <w:tab w:leader="none" w:pos="206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of this Amendment by the Borrower (i) do not require any consent or approval of, registration or filing with, or any other action by, any Governmental Authority, except such as have been obtained or made and are in full force and effect, (ii) will not violate (A) the charter, by-laws or other organizational documents of the Borrower, or (B) any law or regulation applicable to the Borrower or any of its Subsidiaries and (iii) will not violate or result in a default under any indenture or other agreement or instrument binding upon the Borrower or any of its Subsidiaries or their respective assets, or give rise to a right thereunder to require any payment, repurchase or redemption to be made by the Borrower or any of its Subsidiaries, or give rise to a right of, or result in, termination, cancellation or acceleration of any obligation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56" w:right="339" w:bottom="1440" w:gutter="0" w:footer="0" w:header="0"/>
        </w:sectPr>
      </w:pPr>
    </w:p>
    <w:bookmarkStart w:id="111" w:name="page112"/>
    <w:bookmarkEnd w:id="111"/>
    <w:p>
      <w:pPr>
        <w:jc w:val="both"/>
        <w:ind w:firstLine="1241"/>
        <w:spacing w:after="0" w:line="254" w:lineRule="auto"/>
        <w:tabs>
          <w:tab w:leader="none" w:pos="184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set forth in Article III of the Credit Agreement are true and correct in all material respects (except that any representation and warranty that is qualified by materiality or Material Adverse Effect is true and correct in all respects) on and as of the Amendment No. 3 Effective Date except, in each case, to the extent such representation and warranty specifically refer to an earlier date, in which case it was true and correct in all material respects (except that any representation and warranty that is qualified by materiality or Material Adverse Effect was true and correct in all respects) as of such earlier date</w:t>
      </w:r>
    </w:p>
    <w:p>
      <w:pPr>
        <w:spacing w:after="0" w:line="181"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19"/>
          <w:szCs w:val="19"/>
          <w:b w:val="1"/>
          <w:bCs w:val="1"/>
          <w:color w:val="auto"/>
        </w:rPr>
        <w:t>SECTION 5.</w:t>
      </w:r>
      <w:r>
        <w:rPr>
          <w:sz w:val="20"/>
          <w:szCs w:val="20"/>
          <w:color w:val="auto"/>
        </w:rPr>
        <w:tab/>
      </w:r>
      <w:r>
        <w:rPr>
          <w:rFonts w:ascii="Times New Roman" w:cs="Times New Roman" w:eastAsia="Times New Roman" w:hAnsi="Times New Roman"/>
          <w:sz w:val="18"/>
          <w:szCs w:val="18"/>
          <w:b w:val="1"/>
          <w:bCs w:val="1"/>
          <w:color w:val="auto"/>
        </w:rPr>
        <w:t>Effect of Amendment.</w:t>
      </w:r>
    </w:p>
    <w:p>
      <w:pPr>
        <w:spacing w:after="0" w:line="224" w:lineRule="exact"/>
        <w:rPr>
          <w:sz w:val="20"/>
          <w:szCs w:val="20"/>
          <w:color w:val="auto"/>
        </w:rPr>
      </w:pPr>
    </w:p>
    <w:p>
      <w:pPr>
        <w:jc w:val="both"/>
        <w:ind w:firstLine="1241"/>
        <w:spacing w:after="0" w:line="252" w:lineRule="auto"/>
        <w:tabs>
          <w:tab w:leader="none" w:pos="2112"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set forth herein, this Amendment shall not by implication or otherwise limit, impair, constitute a waiver of or otherwise affect the rights and remedies of the Lenders or the Administrative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are ratified and affirmed in all respects and shall continue in full force and effect. Nothing herein shall be deemed to entitle the Borrower to a consent to, or a waiver, amendment, modification or other change of, any of the terms, conditions, obligations, covenants or agreements contained in the Existing Credit Agreement or any other Loan Document in similar or different circumstances, except as expressly set forth herein.</w:t>
      </w:r>
    </w:p>
    <w:p>
      <w:pPr>
        <w:spacing w:after="0" w:line="186" w:lineRule="exact"/>
        <w:rPr>
          <w:rFonts w:ascii="Times New Roman" w:cs="Times New Roman" w:eastAsia="Times New Roman" w:hAnsi="Times New Roman"/>
          <w:sz w:val="19"/>
          <w:szCs w:val="19"/>
          <w:color w:val="auto"/>
        </w:rPr>
      </w:pPr>
    </w:p>
    <w:p>
      <w:pPr>
        <w:jc w:val="both"/>
        <w:ind w:firstLine="1241"/>
        <w:spacing w:after="0" w:line="262" w:lineRule="auto"/>
        <w:tabs>
          <w:tab w:leader="none" w:pos="214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Amendment No. 3 Effective Date each reference in the Credit Agreement to “this Agreement”, “hereunder”, “hereof”, “herein”, or words of like import, and each reference to the “Credit Agreement” in any other Loan Document shall be deemed a reference to the Credit Agreement as amended hereby.</w:t>
      </w:r>
    </w:p>
    <w:p>
      <w:pPr>
        <w:spacing w:after="0" w:line="174" w:lineRule="exact"/>
        <w:rPr>
          <w:rFonts w:ascii="Times New Roman" w:cs="Times New Roman" w:eastAsia="Times New Roman" w:hAnsi="Times New Roman"/>
          <w:sz w:val="19"/>
          <w:szCs w:val="19"/>
          <w:color w:val="auto"/>
        </w:rPr>
      </w:pPr>
    </w:p>
    <w:p>
      <w:pPr>
        <w:ind w:left="2140" w:hanging="899"/>
        <w:spacing w:after="0"/>
        <w:tabs>
          <w:tab w:leader="none" w:pos="21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shall constitute a “Loan Document” for all purposes of the Credit Agreement and the other Loan</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Documents.</w:t>
      </w:r>
    </w:p>
    <w:p>
      <w:pPr>
        <w:spacing w:after="0" w:line="199" w:lineRule="exact"/>
        <w:rPr>
          <w:rFonts w:ascii="Times New Roman" w:cs="Times New Roman" w:eastAsia="Times New Roman" w:hAnsi="Times New Roman"/>
          <w:sz w:val="19"/>
          <w:szCs w:val="19"/>
          <w:color w:val="auto"/>
        </w:rPr>
      </w:pPr>
    </w:p>
    <w:p>
      <w:pPr>
        <w:jc w:val="both"/>
        <w:ind w:firstLine="1241"/>
        <w:spacing w:after="0" w:line="254" w:lineRule="auto"/>
        <w:tabs>
          <w:tab w:leader="none" w:pos="206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herein, the terms of this Amendment shall not constitute a novation of the Existing Credit Agreement or any other Loan Documents and are not intended to and do not serve to effect a novation of the obligations outstanding under the Existing Credit Agreement or instruments guaranteeing or securing the same, which instruments shall remain and continue in full force and effect. The parties hereto expressly do not intend to extinguish the Existing Credit Agreement. Instead, it is the express intention of the parties hereto to reaffirm the indebtedness created under the Existing Credit Agreement. The Existing Credit Agreement (as amended hereby) and each of the Loan Documents remain in full force and effect.</w:t>
      </w:r>
    </w:p>
    <w:p>
      <w:pPr>
        <w:spacing w:after="0" w:line="169"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SECTION 6. Expenses. </w:t>
      </w:r>
      <w:r>
        <w:rPr>
          <w:rFonts w:ascii="Times New Roman" w:cs="Times New Roman" w:eastAsia="Times New Roman" w:hAnsi="Times New Roman"/>
          <w:sz w:val="19"/>
          <w:szCs w:val="19"/>
          <w:color w:val="auto"/>
        </w:rPr>
        <w:t>(a) The Borrower agrees to reimburse the Administrative Agent for its reasonable and documented out-of-pocket expenses incurred by it in connection with this Amendment, including the reasonable and documented fees, charges and disbursements of Latham &amp; Watkins llp, counsel for the Administrative Agent.</w:t>
      </w:r>
    </w:p>
    <w:p>
      <w:pPr>
        <w:spacing w:after="0" w:line="169" w:lineRule="exact"/>
        <w:rPr>
          <w:sz w:val="20"/>
          <w:szCs w:val="20"/>
          <w:color w:val="auto"/>
        </w:rPr>
      </w:pPr>
    </w:p>
    <w:p>
      <w:pPr>
        <w:ind w:left="1860" w:hanging="619"/>
        <w:spacing w:after="0"/>
        <w:tabs>
          <w:tab w:leader="none" w:pos="186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Section 9.03 of the Credit Agreement are otherwise incorporated herein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SECTION 7. Amendments; Severability. </w:t>
      </w:r>
      <w:r>
        <w:rPr>
          <w:rFonts w:ascii="Times New Roman" w:cs="Times New Roman" w:eastAsia="Times New Roman" w:hAnsi="Times New Roman"/>
          <w:sz w:val="19"/>
          <w:szCs w:val="19"/>
          <w:color w:val="auto"/>
        </w:rPr>
        <w:t>(a) Once effective, this Amendment may not be amended nor may any provision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hereof be waived except pursuant to Section 9.02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56" w:right="339" w:bottom="1440" w:gutter="0" w:footer="0" w:header="0"/>
        </w:sectPr>
      </w:pPr>
    </w:p>
    <w:bookmarkStart w:id="112" w:name="page113"/>
    <w:bookmarkEnd w:id="112"/>
    <w:p>
      <w:pPr>
        <w:jc w:val="both"/>
        <w:spacing w:after="0" w:line="270"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18"/>
          <w:szCs w:val="18"/>
          <w:color w:val="auto"/>
        </w:rPr>
        <w:t>(b) If any provision of this Amendment is held to be illegal, invalid or unenforceable, the legality, validity and enforceability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the remaining provisions of this Amendment shall not be affected or impaired thereby. The invalidity of a provision in a particular jurisdiction shall not invalidate or render unenforceable such provision in any other jurisdiction.</w:t>
      </w:r>
    </w:p>
    <w:p>
      <w:pPr>
        <w:spacing w:after="0" w:line="166"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SECTION 9. GOVERNING LAW; Waiver of Jury Trial; Jurisdiction. THIS AMENDMENT AND ANY CLAIM, CONTROVERSY, DISPUTE OR CAUSE OF ACTION BASED UPON, ARISING OUT OF OR RELATING TO THIS AMENDMENT SHALL BE GOVERNED BY, AND CONSTRUED AND INTERPRETED IN ACCORDANCE WITH, THE LAW OF THE STATE OF NEW YORK. </w:t>
      </w:r>
      <w:r>
        <w:rPr>
          <w:rFonts w:ascii="Times New Roman" w:cs="Times New Roman" w:eastAsia="Times New Roman" w:hAnsi="Times New Roman"/>
          <w:sz w:val="19"/>
          <w:szCs w:val="19"/>
          <w:color w:val="auto"/>
        </w:rPr>
        <w:t>The provisions of Sections 9.09 and 9.10 of the Credit Agreement are incorporated herein by reference,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SECTION 10. Headings. </w:t>
      </w:r>
      <w:r>
        <w:rPr>
          <w:rFonts w:ascii="Times New Roman" w:cs="Times New Roman" w:eastAsia="Times New Roman" w:hAnsi="Times New Roman"/>
          <w:sz w:val="19"/>
          <w:szCs w:val="19"/>
          <w:color w:val="auto"/>
        </w:rPr>
        <w:t>Section headings herein are included for convenience of reference only and shall not affect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interpretation of this Amendment.</w:t>
      </w:r>
    </w:p>
    <w:p>
      <w:pPr>
        <w:spacing w:after="0" w:line="135"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SECTION 11. Counterparts. </w:t>
      </w:r>
      <w:r>
        <w:rPr>
          <w:rFonts w:ascii="Times New Roman" w:cs="Times New Roman" w:eastAsia="Times New Roman" w:hAnsi="Times New Roman"/>
          <w:sz w:val="19"/>
          <w:szCs w:val="19"/>
          <w:color w:val="auto"/>
        </w:rPr>
        <w:t>This Amendment may be executed in one or more counterparts, each of which shall be deemed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but all of which together shall constitute one and the same instrument. Delivery by facsimile or other electronic imaging means of an executed counterpart of a signature page to this Amendment shall be effective as delivery of an original executed counterpart of this Amendment.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 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65" w:right="339" w:bottom="1440" w:gutter="0" w:footer="0" w:header="0"/>
        </w:sectPr>
      </w:pPr>
    </w:p>
    <w:bookmarkStart w:id="113" w:name="page114"/>
    <w:bookmarkEnd w:id="113"/>
    <w:p>
      <w:pPr>
        <w:ind w:firstLine="1238"/>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parties hereto have caused this Amendment to be duly executed and delivered by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officers thereunto duly authorized as of the date first written above.</w:t>
      </w:r>
    </w:p>
    <w:p>
      <w:pPr>
        <w:spacing w:after="0" w:line="200" w:lineRule="exact"/>
        <w:rPr>
          <w:sz w:val="20"/>
          <w:szCs w:val="20"/>
          <w:color w:val="auto"/>
        </w:rPr>
      </w:pPr>
    </w:p>
    <w:p>
      <w:pPr>
        <w:spacing w:after="0" w:line="219" w:lineRule="exact"/>
        <w:rPr>
          <w:sz w:val="20"/>
          <w:szCs w:val="20"/>
          <w:color w:val="auto"/>
        </w:rPr>
      </w:pPr>
    </w:p>
    <w:p>
      <w:pPr>
        <w:ind w:left="3780"/>
        <w:spacing w:after="0"/>
        <w:tabs>
          <w:tab w:leader="none" w:pos="5940" w:val="left"/>
        </w:tabs>
        <w:rPr>
          <w:sz w:val="20"/>
          <w:szCs w:val="20"/>
          <w:color w:val="auto"/>
        </w:rPr>
      </w:pPr>
      <w:r>
        <w:rPr>
          <w:rFonts w:ascii="Times New Roman" w:cs="Times New Roman" w:eastAsia="Times New Roman" w:hAnsi="Times New Roman"/>
          <w:sz w:val="19"/>
          <w:szCs w:val="19"/>
          <w:b w:val="1"/>
          <w:bCs w:val="1"/>
          <w:color w:val="auto"/>
        </w:rPr>
        <w:t>TAKE-TWO</w:t>
      </w:r>
      <w:r>
        <w:rPr>
          <w:sz w:val="20"/>
          <w:szCs w:val="20"/>
          <w:color w:val="auto"/>
        </w:rPr>
        <w:tab/>
      </w:r>
      <w:r>
        <w:rPr>
          <w:rFonts w:ascii="Times New Roman" w:cs="Times New Roman" w:eastAsia="Times New Roman" w:hAnsi="Times New Roman"/>
          <w:sz w:val="18"/>
          <w:szCs w:val="18"/>
          <w:b w:val="1"/>
          <w:bCs w:val="1"/>
          <w:color w:val="auto"/>
        </w:rPr>
        <w:t>INTERACTIVE</w:t>
      </w:r>
    </w:p>
    <w:p>
      <w:pPr>
        <w:spacing w:after="0" w:line="3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SOFTWARE, INC.</w:t>
      </w:r>
      <w:r>
        <w:rPr>
          <w:rFonts w:ascii="Times New Roman" w:cs="Times New Roman" w:eastAsia="Times New Roman" w:hAnsi="Times New Roman"/>
          <w:sz w:val="19"/>
          <w:szCs w:val="19"/>
          <w:color w:val="auto"/>
        </w:rPr>
        <w:t>, as Borrower</w:t>
      </w:r>
    </w:p>
    <w:p>
      <w:pPr>
        <w:spacing w:after="0" w:line="200" w:lineRule="exact"/>
        <w:rPr>
          <w:sz w:val="20"/>
          <w:szCs w:val="20"/>
          <w:color w:val="auto"/>
        </w:rPr>
      </w:pPr>
    </w:p>
    <w:p>
      <w:pPr>
        <w:spacing w:after="0" w:line="240" w:lineRule="exact"/>
        <w:rPr>
          <w:sz w:val="20"/>
          <w:szCs w:val="20"/>
          <w:color w:val="auto"/>
        </w:rPr>
      </w:pPr>
    </w:p>
    <w:p>
      <w:pPr>
        <w:ind w:left="3740"/>
        <w:spacing w:after="0"/>
        <w:tabs>
          <w:tab w:leader="none" w:pos="4220" w:val="left"/>
        </w:tabs>
        <w:rPr>
          <w:sz w:val="20"/>
          <w:szCs w:val="20"/>
          <w:color w:val="auto"/>
        </w:rPr>
      </w:pPr>
      <w:r>
        <w:rPr>
          <w:rFonts w:ascii="Times New Roman" w:cs="Times New Roman" w:eastAsia="Times New Roman" w:hAnsi="Times New Roman"/>
          <w:sz w:val="19"/>
          <w:szCs w:val="19"/>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21590</wp:posOffset>
            </wp:positionV>
            <wp:extent cx="19894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9">
                      <a:extLst>
                        <a:ext uri="{28A0092B-C50C-407E-A947-70E740481C1C}"/>
                      </a:extLst>
                    </a:blip>
                    <a:srcRect/>
                    <a:stretch>
                      <a:fillRect/>
                    </a:stretch>
                  </pic:blipFill>
                  <pic:spPr bwMode="auto">
                    <a:xfrm>
                      <a:off x="0" y="0"/>
                      <a:ext cx="1989455" cy="8255"/>
                    </a:xfrm>
                    <a:prstGeom prst="rect">
                      <a:avLst/>
                    </a:prstGeom>
                    <a:noFill/>
                  </pic:spPr>
                </pic:pic>
              </a:graphicData>
            </a:graphic>
          </wp:anchor>
        </w:drawing>
      </w:r>
    </w:p>
    <w:p>
      <w:pPr>
        <w:spacing w:after="0" w:line="32"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Matthew Breitman</w:t>
      </w:r>
    </w:p>
    <w:p>
      <w:pPr>
        <w:spacing w:after="0" w:line="26" w:lineRule="exact"/>
        <w:rPr>
          <w:sz w:val="20"/>
          <w:szCs w:val="20"/>
          <w:color w:val="auto"/>
        </w:rPr>
      </w:pPr>
    </w:p>
    <w:p>
      <w:pPr>
        <w:ind w:left="4240"/>
        <w:spacing w:after="0"/>
        <w:tabs>
          <w:tab w:leader="none" w:pos="5320" w:val="left"/>
          <w:tab w:leader="none" w:pos="5880" w:val="left"/>
          <w:tab w:leader="none" w:pos="66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SVP,</w:t>
        <w:tab/>
        <w:t>General</w:t>
      </w:r>
      <w:r>
        <w:rPr>
          <w:sz w:val="20"/>
          <w:szCs w:val="20"/>
          <w:color w:val="auto"/>
        </w:rPr>
        <w:tab/>
      </w:r>
      <w:r>
        <w:rPr>
          <w:rFonts w:ascii="Times New Roman" w:cs="Times New Roman" w:eastAsia="Times New Roman" w:hAnsi="Times New Roman"/>
          <w:sz w:val="18"/>
          <w:szCs w:val="18"/>
          <w:color w:val="auto"/>
        </w:rPr>
        <w:t>Counsel</w:t>
      </w:r>
    </w:p>
    <w:p>
      <w:pPr>
        <w:spacing w:after="0" w:line="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Americas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 No. 3]</w:t>
      </w:r>
    </w:p>
    <w:p>
      <w:pPr>
        <w:sectPr>
          <w:pgSz w:w="11900" w:h="16838" w:orient="portrait"/>
          <w:cols w:equalWidth="0" w:num="1">
            <w:col w:w="11240"/>
          </w:cols>
          <w:pgMar w:left="320" w:top="1352" w:right="339" w:bottom="1440" w:gutter="0" w:footer="0" w:header="0"/>
        </w:sectPr>
      </w:pPr>
    </w:p>
    <w:bookmarkStart w:id="114" w:name="page115"/>
    <w:bookmarkEnd w:id="114"/>
    <w:p>
      <w:pPr>
        <w:spacing w:after="0" w:line="19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JPMORGAN CHASE BANK, N.A.</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as Administrative Agent, Issuing Bank and a</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color w:val="auto"/>
        </w:rPr>
        <w:t>Lender</w:t>
      </w:r>
    </w:p>
    <w:p>
      <w:pPr>
        <w:spacing w:after="0" w:line="239" w:lineRule="exact"/>
        <w:rPr>
          <w:sz w:val="20"/>
          <w:szCs w:val="20"/>
          <w:color w:val="auto"/>
        </w:rPr>
      </w:pPr>
    </w:p>
    <w:p>
      <w:pPr>
        <w:ind w:left="256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 Peter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21590</wp:posOffset>
            </wp:positionV>
            <wp:extent cx="21532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0">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Name: Peter Christensen</w:t>
      </w:r>
    </w:p>
    <w:p>
      <w:pPr>
        <w:spacing w:after="0" w:line="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w:t>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18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p>
    <w:p>
      <w:pPr>
        <w:spacing w:after="0" w:line="30" w:lineRule="exact"/>
        <w:rPr>
          <w:sz w:val="20"/>
          <w:szCs w:val="20"/>
          <w:color w:val="auto"/>
        </w:rPr>
      </w:pPr>
    </w:p>
    <w:p>
      <w:pPr>
        <w:ind w:left="256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 Benjamin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21590</wp:posOffset>
            </wp:positionV>
            <wp:extent cx="21532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1">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Name: Benjamin Schwartz</w:t>
      </w:r>
    </w:p>
    <w:p>
      <w:pPr>
        <w:spacing w:after="0" w:line="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18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30" w:lineRule="exact"/>
        <w:rPr>
          <w:sz w:val="20"/>
          <w:szCs w:val="20"/>
          <w:color w:val="auto"/>
        </w:rPr>
      </w:pPr>
    </w:p>
    <w:p>
      <w:pPr>
        <w:ind w:left="256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 Erhlich Bautista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21590</wp:posOffset>
            </wp:positionV>
            <wp:extent cx="21532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2">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Name: Erhlich Bautista</w:t>
      </w:r>
    </w:p>
    <w:p>
      <w:pPr>
        <w:spacing w:after="0" w:line="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w:t>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BNP Paribas</w:t>
      </w:r>
    </w:p>
    <w:p>
      <w:pPr>
        <w:spacing w:after="0" w:line="30" w:lineRule="exact"/>
        <w:rPr>
          <w:sz w:val="20"/>
          <w:szCs w:val="20"/>
          <w:color w:val="auto"/>
        </w:rPr>
      </w:pPr>
    </w:p>
    <w:p>
      <w:pPr>
        <w:ind w:left="256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 Nicole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21590</wp:posOffset>
            </wp:positionV>
            <wp:extent cx="21532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3">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Name: Nicole Rodriquex</w:t>
      </w:r>
    </w:p>
    <w:p>
      <w:pPr>
        <w:spacing w:after="0" w:line="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Director</w:t>
      </w:r>
    </w:p>
    <w:p>
      <w:pPr>
        <w:spacing w:after="0" w:line="297" w:lineRule="exact"/>
        <w:rPr>
          <w:sz w:val="20"/>
          <w:szCs w:val="20"/>
          <w:color w:val="auto"/>
        </w:rPr>
      </w:pPr>
    </w:p>
    <w:p>
      <w:pPr>
        <w:ind w:left="256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21590</wp:posOffset>
            </wp:positionV>
            <wp:extent cx="21532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4">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Name: Nicolas Doche</w:t>
      </w:r>
    </w:p>
    <w:p>
      <w:pPr>
        <w:spacing w:after="0" w:line="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w:t>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GOLDMAN SACHS BANK USA</w:t>
      </w:r>
    </w:p>
    <w:p>
      <w:pPr>
        <w:spacing w:after="0" w:line="30" w:lineRule="exact"/>
        <w:rPr>
          <w:sz w:val="20"/>
          <w:szCs w:val="20"/>
          <w:color w:val="auto"/>
        </w:rPr>
      </w:pPr>
    </w:p>
    <w:p>
      <w:pPr>
        <w:ind w:left="256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 Dan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21590</wp:posOffset>
            </wp:positionV>
            <wp:extent cx="21532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5">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Name: Dan Starr</w:t>
      </w:r>
    </w:p>
    <w:p>
      <w:pPr>
        <w:spacing w:after="0" w:line="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w:t>
      </w:r>
    </w:p>
    <w:p>
      <w:pPr>
        <w:sectPr>
          <w:pgSz w:w="11900" w:h="16838" w:orient="portrait"/>
          <w:cols w:equalWidth="0" w:num="1">
            <w:col w:w="9019"/>
          </w:cols>
          <w:pgMar w:left="1440" w:top="1440"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9"/>
          <w:szCs w:val="19"/>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808355</wp:posOffset>
            </wp:positionV>
            <wp:extent cx="713867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1242060</wp:posOffset>
            </wp:positionV>
            <wp:extent cx="1604645" cy="3517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7">
                      <a:extLst>
                        <a:ext uri="{28A0092B-C50C-407E-A947-70E740481C1C}"/>
                      </a:extLst>
                    </a:blip>
                    <a:srcRect/>
                    <a:stretch>
                      <a:fillRect/>
                    </a:stretch>
                  </pic:blipFill>
                  <pic:spPr bwMode="auto">
                    <a:xfrm>
                      <a:off x="0" y="0"/>
                      <a:ext cx="160464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CREDIT AGREEMENT</w:t>
      </w:r>
    </w:p>
    <w:p>
      <w:pPr>
        <w:spacing w:after="0" w:line="200" w:lineRule="exact"/>
        <w:rPr>
          <w:sz w:val="20"/>
          <w:szCs w:val="20"/>
          <w:color w:val="auto"/>
        </w:rPr>
      </w:pPr>
    </w:p>
    <w:p>
      <w:pPr>
        <w:spacing w:after="0" w:line="2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dated as of</w:t>
      </w:r>
    </w:p>
    <w:p>
      <w:pPr>
        <w:spacing w:after="0" w:line="20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May 23, 2022</w:t>
      </w:r>
    </w:p>
    <w:p>
      <w:pPr>
        <w:spacing w:after="0" w:line="22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among</w:t>
      </w:r>
    </w:p>
    <w:p>
      <w:pPr>
        <w:spacing w:after="0" w:line="2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color w:val="auto"/>
        </w:rPr>
        <w:t>TAKE-TWO INTERACTIVE SOFTWARE, INC.</w:t>
      </w:r>
    </w:p>
    <w:p>
      <w:pPr>
        <w:spacing w:after="0" w:line="200" w:lineRule="exact"/>
        <w:rPr>
          <w:sz w:val="20"/>
          <w:szCs w:val="20"/>
          <w:color w:val="auto"/>
        </w:rPr>
      </w:pPr>
    </w:p>
    <w:p>
      <w:pPr>
        <w:spacing w:after="0" w:line="2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The Lenders Party Hereto</w:t>
      </w:r>
    </w:p>
    <w:p>
      <w:pPr>
        <w:spacing w:after="0" w:line="23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19" w:lineRule="exact"/>
        <w:rPr>
          <w:sz w:val="20"/>
          <w:szCs w:val="20"/>
          <w:color w:val="auto"/>
        </w:rPr>
      </w:pPr>
    </w:p>
    <w:p>
      <w:pPr>
        <w:jc w:val="center"/>
        <w:ind w:right="880"/>
        <w:spacing w:after="0" w:line="269" w:lineRule="auto"/>
        <w:rPr>
          <w:sz w:val="20"/>
          <w:szCs w:val="20"/>
          <w:color w:val="auto"/>
        </w:rPr>
      </w:pPr>
      <w:r>
        <w:rPr>
          <w:rFonts w:ascii="Times New Roman" w:cs="Times New Roman" w:eastAsia="Times New Roman" w:hAnsi="Times New Roman"/>
          <w:sz w:val="19"/>
          <w:szCs w:val="19"/>
          <w:color w:val="auto"/>
        </w:rPr>
        <w:t>JPMORGAN CHASE BANK, N.A., WELLS FARGO SECURITIES, LLC, BOFA SECURITIES, INC. and BNP PARIBAS, as Joint Lead Arrangers and Joint Bookrunners</w:t>
      </w:r>
    </w:p>
    <w:p>
      <w:pPr>
        <w:spacing w:after="0" w:line="16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and</w:t>
      </w:r>
    </w:p>
    <w:p>
      <w:pPr>
        <w:spacing w:after="0" w:line="22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2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434975</wp:posOffset>
            </wp:positionV>
            <wp:extent cx="713867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360"/>
          </w:cols>
          <w:pgMar w:left="1200" w:top="11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9"/>
                <w:szCs w:val="19"/>
                <w:color w:val="010000"/>
              </w:rPr>
              <w:t xml:space="preserve">ARTICLE I </w:t>
            </w:r>
            <w:r>
              <w:rPr>
                <w:rFonts w:ascii="Times New Roman" w:cs="Times New Roman" w:eastAsia="Times New Roman" w:hAnsi="Times New Roman"/>
                <w:sz w:val="19"/>
                <w:szCs w:val="19"/>
                <w:color w:val="000000"/>
              </w:rPr>
              <w:t>Definitions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13"/>
        </w:trPr>
        <w:tc>
          <w:tcPr>
            <w:tcW w:w="2540" w:type="dxa"/>
            <w:vAlign w:val="bottom"/>
            <w:gridSpan w:val="3"/>
          </w:tcPr>
          <w:p>
            <w:pPr>
              <w:spacing w:after="0"/>
              <w:rPr>
                <w:sz w:val="20"/>
                <w:szCs w:val="20"/>
                <w:color w:val="auto"/>
              </w:rPr>
            </w:pPr>
            <w:r>
              <w:rPr>
                <w:rFonts w:ascii="Times New Roman" w:cs="Times New Roman" w:eastAsia="Times New Roman" w:hAnsi="Times New Roman"/>
                <w:sz w:val="19"/>
                <w:szCs w:val="19"/>
                <w:color w:val="010000"/>
              </w:rPr>
              <w:t xml:space="preserve">SECTION 1.01. </w:t>
            </w:r>
            <w:r>
              <w:rPr>
                <w:rFonts w:ascii="Times New Roman" w:cs="Times New Roman" w:eastAsia="Times New Roman" w:hAnsi="Times New Roman"/>
                <w:sz w:val="19"/>
                <w:szCs w:val="19"/>
                <w:color w:val="000000"/>
              </w:rPr>
              <w:t>Defined Terms</w:t>
            </w: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9"/>
        </w:trPr>
        <w:tc>
          <w:tcPr>
            <w:tcW w:w="4360" w:type="dxa"/>
            <w:vAlign w:val="bottom"/>
            <w:gridSpan w:val="12"/>
          </w:tcPr>
          <w:p>
            <w:pPr>
              <w:spacing w:after="0"/>
              <w:rPr>
                <w:sz w:val="20"/>
                <w:szCs w:val="20"/>
                <w:color w:val="auto"/>
              </w:rPr>
            </w:pPr>
            <w:r>
              <w:rPr>
                <w:rFonts w:ascii="Times New Roman" w:cs="Times New Roman" w:eastAsia="Times New Roman" w:hAnsi="Times New Roman"/>
                <w:sz w:val="19"/>
                <w:szCs w:val="19"/>
                <w:color w:val="010000"/>
              </w:rPr>
              <w:t xml:space="preserve">SECTION 1.02. </w:t>
            </w:r>
            <w:r>
              <w:rPr>
                <w:rFonts w:ascii="Times New Roman" w:cs="Times New Roman" w:eastAsia="Times New Roman" w:hAnsi="Times New Roman"/>
                <w:sz w:val="19"/>
                <w:szCs w:val="19"/>
                <w:color w:val="000000"/>
              </w:rPr>
              <w:t>Classification of Loans and Borrowings</w:t>
            </w:r>
          </w:p>
        </w:tc>
        <w:tc>
          <w:tcPr>
            <w:tcW w:w="1200" w:type="dxa"/>
            <w:vAlign w:val="bottom"/>
          </w:tcPr>
          <w:p>
            <w:pPr>
              <w:jc w:val="right"/>
              <w:ind w:right="806"/>
              <w:spacing w:after="0"/>
              <w:rPr>
                <w:sz w:val="20"/>
                <w:szCs w:val="20"/>
                <w:color w:val="auto"/>
              </w:rPr>
            </w:pPr>
            <w:r>
              <w:rPr>
                <w:rFonts w:ascii="Times New Roman" w:cs="Times New Roman" w:eastAsia="Times New Roman" w:hAnsi="Times New Roman"/>
                <w:sz w:val="19"/>
                <w:szCs w:val="19"/>
                <w:color w:val="auto"/>
              </w:rPr>
              <w:t>35</w:t>
            </w:r>
          </w:p>
        </w:tc>
      </w:tr>
      <w:tr>
        <w:trPr>
          <w:trHeight w:val="232"/>
        </w:trPr>
        <w:tc>
          <w:tcPr>
            <w:tcW w:w="2540" w:type="dxa"/>
            <w:vAlign w:val="bottom"/>
            <w:gridSpan w:val="3"/>
          </w:tcPr>
          <w:p>
            <w:pPr>
              <w:spacing w:after="0"/>
              <w:rPr>
                <w:sz w:val="20"/>
                <w:szCs w:val="20"/>
                <w:color w:val="auto"/>
              </w:rPr>
            </w:pPr>
            <w:r>
              <w:rPr>
                <w:rFonts w:ascii="Times New Roman" w:cs="Times New Roman" w:eastAsia="Times New Roman" w:hAnsi="Times New Roman"/>
                <w:sz w:val="19"/>
                <w:szCs w:val="19"/>
                <w:color w:val="010000"/>
                <w:w w:val="98"/>
              </w:rPr>
              <w:t xml:space="preserve">SECTION 1.03. </w:t>
            </w:r>
            <w:r>
              <w:rPr>
                <w:rFonts w:ascii="Times New Roman" w:cs="Times New Roman" w:eastAsia="Times New Roman" w:hAnsi="Times New Roman"/>
                <w:sz w:val="19"/>
                <w:szCs w:val="19"/>
                <w:color w:val="000000"/>
                <w:w w:val="98"/>
              </w:rPr>
              <w:t>Terms Generally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5560" w:type="dxa"/>
            <w:vAlign w:val="bottom"/>
            <w:gridSpan w:val="13"/>
          </w:tcPr>
          <w:p>
            <w:pPr>
              <w:spacing w:after="0"/>
              <w:rPr>
                <w:sz w:val="20"/>
                <w:szCs w:val="20"/>
                <w:color w:val="auto"/>
              </w:rPr>
            </w:pPr>
            <w:r>
              <w:rPr>
                <w:rFonts w:ascii="Times New Roman" w:cs="Times New Roman" w:eastAsia="Times New Roman" w:hAnsi="Times New Roman"/>
                <w:sz w:val="19"/>
                <w:szCs w:val="19"/>
                <w:color w:val="010000"/>
              </w:rPr>
              <w:t xml:space="preserve">SECTION 1.04. </w:t>
            </w:r>
            <w:r>
              <w:rPr>
                <w:rFonts w:ascii="Times New Roman" w:cs="Times New Roman" w:eastAsia="Times New Roman" w:hAnsi="Times New Roman"/>
                <w:sz w:val="19"/>
                <w:szCs w:val="19"/>
                <w:color w:val="000000"/>
              </w:rPr>
              <w:t>Accounting Terms; GAAP; Pro Forma Calculations  35</w:t>
            </w:r>
          </w:p>
        </w:tc>
      </w:tr>
      <w:tr>
        <w:trPr>
          <w:trHeight w:val="215"/>
        </w:trPr>
        <w:tc>
          <w:tcPr>
            <w:tcW w:w="4360" w:type="dxa"/>
            <w:vAlign w:val="bottom"/>
            <w:gridSpan w:val="12"/>
          </w:tcPr>
          <w:p>
            <w:pPr>
              <w:spacing w:after="0" w:line="215" w:lineRule="exact"/>
              <w:rPr>
                <w:sz w:val="20"/>
                <w:szCs w:val="20"/>
                <w:color w:val="auto"/>
              </w:rPr>
            </w:pPr>
            <w:r>
              <w:rPr>
                <w:rFonts w:ascii="Times New Roman" w:cs="Times New Roman" w:eastAsia="Times New Roman" w:hAnsi="Times New Roman"/>
                <w:sz w:val="19"/>
                <w:szCs w:val="19"/>
                <w:color w:val="010000"/>
              </w:rPr>
              <w:t xml:space="preserve">SECTION 1.05. </w:t>
            </w:r>
            <w:r>
              <w:rPr>
                <w:rFonts w:ascii="Times New Roman" w:cs="Times New Roman" w:eastAsia="Times New Roman" w:hAnsi="Times New Roman"/>
                <w:sz w:val="19"/>
                <w:szCs w:val="19"/>
                <w:color w:val="000000"/>
              </w:rPr>
              <w:t>Interest Rates; Benchmark Notification</w:t>
            </w:r>
          </w:p>
        </w:tc>
        <w:tc>
          <w:tcPr>
            <w:tcW w:w="1200" w:type="dxa"/>
            <w:vAlign w:val="bottom"/>
          </w:tcPr>
          <w:p>
            <w:pPr>
              <w:jc w:val="right"/>
              <w:ind w:right="846"/>
              <w:spacing w:after="0" w:line="215" w:lineRule="exact"/>
              <w:rPr>
                <w:sz w:val="20"/>
                <w:szCs w:val="20"/>
                <w:color w:val="auto"/>
              </w:rPr>
            </w:pPr>
            <w:r>
              <w:rPr>
                <w:rFonts w:ascii="Times New Roman" w:cs="Times New Roman" w:eastAsia="Times New Roman" w:hAnsi="Times New Roman"/>
                <w:sz w:val="19"/>
                <w:szCs w:val="19"/>
                <w:color w:val="auto"/>
              </w:rPr>
              <w:t>36</w:t>
            </w:r>
          </w:p>
        </w:tc>
      </w:tr>
      <w:tr>
        <w:trPr>
          <w:trHeight w:val="205"/>
        </w:trPr>
        <w:tc>
          <w:tcPr>
            <w:tcW w:w="3220" w:type="dxa"/>
            <w:vAlign w:val="bottom"/>
            <w:gridSpan w:val="8"/>
          </w:tcPr>
          <w:p>
            <w:pPr>
              <w:spacing w:after="0" w:line="205" w:lineRule="exact"/>
              <w:rPr>
                <w:sz w:val="20"/>
                <w:szCs w:val="20"/>
                <w:color w:val="auto"/>
              </w:rPr>
            </w:pPr>
            <w:r>
              <w:rPr>
                <w:rFonts w:ascii="Times New Roman" w:cs="Times New Roman" w:eastAsia="Times New Roman" w:hAnsi="Times New Roman"/>
                <w:sz w:val="19"/>
                <w:szCs w:val="19"/>
                <w:color w:val="010000"/>
                <w:w w:val="99"/>
              </w:rPr>
              <w:t xml:space="preserve">SECTION 1.06. </w:t>
            </w:r>
            <w:r>
              <w:rPr>
                <w:rFonts w:ascii="Times New Roman" w:cs="Times New Roman" w:eastAsia="Times New Roman" w:hAnsi="Times New Roman"/>
                <w:sz w:val="19"/>
                <w:szCs w:val="19"/>
                <w:color w:val="000000"/>
                <w:w w:val="99"/>
              </w:rPr>
              <w:t>Letter of Credit Amounts</w:t>
            </w:r>
          </w:p>
        </w:tc>
        <w:tc>
          <w:tcPr>
            <w:tcW w:w="160" w:type="dxa"/>
            <w:vAlign w:val="bottom"/>
          </w:tcPr>
          <w:p>
            <w:pPr>
              <w:spacing w:after="0"/>
              <w:rPr>
                <w:sz w:val="17"/>
                <w:szCs w:val="17"/>
                <w:color w:val="auto"/>
              </w:rPr>
            </w:pP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FF0000"/>
                <w:strike w:val="1"/>
                <w:w w:val="83"/>
              </w:rPr>
              <w:t>37</w:t>
            </w:r>
          </w:p>
        </w:tc>
        <w:tc>
          <w:tcPr>
            <w:tcW w:w="800" w:type="dxa"/>
            <w:vAlign w:val="bottom"/>
            <w:gridSpan w:val="2"/>
          </w:tcPr>
          <w:p>
            <w:pPr>
              <w:jc w:val="right"/>
              <w:ind w:right="600"/>
              <w:spacing w:after="0" w:line="205" w:lineRule="exact"/>
              <w:rPr>
                <w:sz w:val="20"/>
                <w:szCs w:val="20"/>
                <w:color w:val="auto"/>
              </w:rPr>
            </w:pPr>
            <w:r>
              <w:rPr>
                <w:rFonts w:ascii="Times New Roman" w:cs="Times New Roman" w:eastAsia="Times New Roman" w:hAnsi="Times New Roman"/>
                <w:sz w:val="19"/>
                <w:szCs w:val="19"/>
                <w:b w:val="1"/>
                <w:bCs w:val="1"/>
                <w:color w:val="0000FF"/>
                <w:w w:val="94"/>
              </w:rPr>
              <w:t>36</w:t>
            </w:r>
          </w:p>
        </w:tc>
        <w:tc>
          <w:tcPr>
            <w:tcW w:w="1200" w:type="dxa"/>
            <w:vAlign w:val="bottom"/>
          </w:tcPr>
          <w:p>
            <w:pPr>
              <w:spacing w:after="0"/>
              <w:rPr>
                <w:sz w:val="17"/>
                <w:szCs w:val="17"/>
                <w:color w:val="auto"/>
              </w:rPr>
            </w:pPr>
          </w:p>
        </w:tc>
      </w:tr>
      <w:tr>
        <w:trPr>
          <w:trHeight w:val="255"/>
        </w:trPr>
        <w:tc>
          <w:tcPr>
            <w:tcW w:w="2140" w:type="dxa"/>
            <w:vAlign w:val="bottom"/>
            <w:gridSpan w:val="2"/>
          </w:tcPr>
          <w:p>
            <w:pPr>
              <w:spacing w:after="0"/>
              <w:rPr>
                <w:sz w:val="20"/>
                <w:szCs w:val="20"/>
                <w:color w:val="auto"/>
              </w:rPr>
            </w:pPr>
            <w:r>
              <w:rPr>
                <w:rFonts w:ascii="Times New Roman" w:cs="Times New Roman" w:eastAsia="Times New Roman" w:hAnsi="Times New Roman"/>
                <w:sz w:val="19"/>
                <w:szCs w:val="19"/>
                <w:color w:val="010000"/>
              </w:rPr>
              <w:t xml:space="preserve">SECTION 1.07. </w:t>
            </w:r>
            <w:r>
              <w:rPr>
                <w:rFonts w:ascii="Times New Roman" w:cs="Times New Roman" w:eastAsia="Times New Roman" w:hAnsi="Times New Roman"/>
                <w:sz w:val="19"/>
                <w:szCs w:val="19"/>
                <w:color w:val="000000"/>
              </w:rPr>
              <w:t>Divisions</w:t>
            </w: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37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25"/>
        </w:trPr>
        <w:tc>
          <w:tcPr>
            <w:tcW w:w="1900" w:type="dxa"/>
            <w:vAlign w:val="bottom"/>
          </w:tcPr>
          <w:p>
            <w:pPr>
              <w:spacing w:after="0"/>
              <w:rPr>
                <w:sz w:val="20"/>
                <w:szCs w:val="20"/>
                <w:color w:val="auto"/>
              </w:rPr>
            </w:pPr>
            <w:r>
              <w:rPr>
                <w:rFonts w:ascii="Times New Roman" w:cs="Times New Roman" w:eastAsia="Times New Roman" w:hAnsi="Times New Roman"/>
                <w:sz w:val="19"/>
                <w:szCs w:val="19"/>
                <w:color w:val="010000"/>
                <w:w w:val="98"/>
              </w:rPr>
              <w:t xml:space="preserve">ARTICLE II </w:t>
            </w:r>
            <w:r>
              <w:rPr>
                <w:rFonts w:ascii="Times New Roman" w:cs="Times New Roman" w:eastAsia="Times New Roman" w:hAnsi="Times New Roman"/>
                <w:sz w:val="19"/>
                <w:szCs w:val="19"/>
                <w:color w:val="000000"/>
                <w:w w:val="98"/>
              </w:rPr>
              <w:t>The Credits</w:t>
            </w:r>
          </w:p>
        </w:tc>
        <w:tc>
          <w:tcPr>
            <w:tcW w:w="640" w:type="dxa"/>
            <w:vAlign w:val="bottom"/>
            <w:gridSpan w:val="2"/>
          </w:tcPr>
          <w:p>
            <w:pPr>
              <w:jc w:val="right"/>
              <w:ind w:right="166"/>
              <w:spacing w:after="0"/>
              <w:rPr>
                <w:sz w:val="20"/>
                <w:szCs w:val="20"/>
                <w:color w:val="auto"/>
              </w:rPr>
            </w:pPr>
            <w:r>
              <w:rPr>
                <w:rFonts w:ascii="Times New Roman" w:cs="Times New Roman" w:eastAsia="Times New Roman" w:hAnsi="Times New Roman"/>
                <w:sz w:val="19"/>
                <w:szCs w:val="19"/>
                <w:color w:val="auto"/>
              </w:rPr>
              <w:t>37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3"/>
        </w:trPr>
        <w:tc>
          <w:tcPr>
            <w:tcW w:w="2540" w:type="dxa"/>
            <w:vAlign w:val="bottom"/>
            <w:gridSpan w:val="3"/>
          </w:tcPr>
          <w:p>
            <w:pPr>
              <w:spacing w:after="0"/>
              <w:rPr>
                <w:sz w:val="20"/>
                <w:szCs w:val="20"/>
                <w:color w:val="auto"/>
              </w:rPr>
            </w:pPr>
            <w:r>
              <w:rPr>
                <w:rFonts w:ascii="Times New Roman" w:cs="Times New Roman" w:eastAsia="Times New Roman" w:hAnsi="Times New Roman"/>
                <w:sz w:val="19"/>
                <w:szCs w:val="19"/>
                <w:color w:val="010000"/>
              </w:rPr>
              <w:t xml:space="preserve">SECTION 2.01. </w:t>
            </w:r>
            <w:r>
              <w:rPr>
                <w:rFonts w:ascii="Times New Roman" w:cs="Times New Roman" w:eastAsia="Times New Roman" w:hAnsi="Times New Roman"/>
                <w:sz w:val="19"/>
                <w:szCs w:val="19"/>
                <w:color w:val="000000"/>
              </w:rPr>
              <w:t>Commitments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2"/>
        </w:trPr>
        <w:tc>
          <w:tcPr>
            <w:tcW w:w="3060" w:type="dxa"/>
            <w:vAlign w:val="bottom"/>
            <w:gridSpan w:val="6"/>
          </w:tcPr>
          <w:p>
            <w:pPr>
              <w:spacing w:after="0"/>
              <w:rPr>
                <w:sz w:val="20"/>
                <w:szCs w:val="20"/>
                <w:color w:val="auto"/>
              </w:rPr>
            </w:pPr>
            <w:r>
              <w:rPr>
                <w:rFonts w:ascii="Times New Roman" w:cs="Times New Roman" w:eastAsia="Times New Roman" w:hAnsi="Times New Roman"/>
                <w:sz w:val="19"/>
                <w:szCs w:val="19"/>
                <w:color w:val="010000"/>
              </w:rPr>
              <w:t xml:space="preserve">SECTION 2.02. </w:t>
            </w:r>
            <w:r>
              <w:rPr>
                <w:rFonts w:ascii="Times New Roman" w:cs="Times New Roman" w:eastAsia="Times New Roman" w:hAnsi="Times New Roman"/>
                <w:sz w:val="19"/>
                <w:szCs w:val="19"/>
                <w:color w:val="000000"/>
              </w:rPr>
              <w:t>Loans and Borrowings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3220" w:type="dxa"/>
            <w:vAlign w:val="bottom"/>
            <w:gridSpan w:val="8"/>
          </w:tcPr>
          <w:p>
            <w:pPr>
              <w:spacing w:after="0"/>
              <w:rPr>
                <w:sz w:val="20"/>
                <w:szCs w:val="20"/>
                <w:color w:val="auto"/>
              </w:rPr>
            </w:pPr>
            <w:r>
              <w:rPr>
                <w:rFonts w:ascii="Times New Roman" w:cs="Times New Roman" w:eastAsia="Times New Roman" w:hAnsi="Times New Roman"/>
                <w:sz w:val="19"/>
                <w:szCs w:val="19"/>
                <w:color w:val="010000"/>
              </w:rPr>
              <w:t xml:space="preserve">SECTION 2.03. </w:t>
            </w:r>
            <w:r>
              <w:rPr>
                <w:rFonts w:ascii="Times New Roman" w:cs="Times New Roman" w:eastAsia="Times New Roman" w:hAnsi="Times New Roman"/>
                <w:sz w:val="19"/>
                <w:szCs w:val="19"/>
                <w:color w:val="000000"/>
              </w:rPr>
              <w:t>Requests for Borrowings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9"/>
        </w:trPr>
        <w:tc>
          <w:tcPr>
            <w:tcW w:w="4360" w:type="dxa"/>
            <w:vAlign w:val="bottom"/>
            <w:gridSpan w:val="12"/>
          </w:tcPr>
          <w:p>
            <w:pPr>
              <w:spacing w:after="0"/>
              <w:rPr>
                <w:sz w:val="20"/>
                <w:szCs w:val="20"/>
                <w:color w:val="auto"/>
              </w:rPr>
            </w:pPr>
            <w:r>
              <w:rPr>
                <w:rFonts w:ascii="Times New Roman" w:cs="Times New Roman" w:eastAsia="Times New Roman" w:hAnsi="Times New Roman"/>
                <w:sz w:val="19"/>
                <w:szCs w:val="19"/>
                <w:color w:val="010000"/>
              </w:rPr>
              <w:t xml:space="preserve">SECTION 2.04. </w:t>
            </w:r>
            <w:r>
              <w:rPr>
                <w:rFonts w:ascii="Times New Roman" w:cs="Times New Roman" w:eastAsia="Times New Roman" w:hAnsi="Times New Roman"/>
                <w:sz w:val="19"/>
                <w:szCs w:val="19"/>
                <w:color w:val="000000"/>
              </w:rPr>
              <w:t>Determination of Dollar Amounts  39</w:t>
            </w:r>
          </w:p>
        </w:tc>
        <w:tc>
          <w:tcPr>
            <w:tcW w:w="1200" w:type="dxa"/>
            <w:vAlign w:val="bottom"/>
          </w:tcPr>
          <w:p>
            <w:pPr>
              <w:spacing w:after="0"/>
              <w:rPr>
                <w:sz w:val="19"/>
                <w:szCs w:val="19"/>
                <w:color w:val="auto"/>
              </w:rPr>
            </w:pPr>
          </w:p>
        </w:tc>
      </w:tr>
      <w:tr>
        <w:trPr>
          <w:trHeight w:val="232"/>
        </w:trPr>
        <w:tc>
          <w:tcPr>
            <w:tcW w:w="2140" w:type="dxa"/>
            <w:vAlign w:val="bottom"/>
            <w:gridSpan w:val="2"/>
          </w:tcPr>
          <w:p>
            <w:pPr>
              <w:spacing w:after="0"/>
              <w:rPr>
                <w:sz w:val="20"/>
                <w:szCs w:val="20"/>
                <w:color w:val="auto"/>
              </w:rPr>
            </w:pPr>
            <w:r>
              <w:rPr>
                <w:rFonts w:ascii="Times New Roman" w:cs="Times New Roman" w:eastAsia="Times New Roman" w:hAnsi="Times New Roman"/>
                <w:sz w:val="19"/>
                <w:szCs w:val="19"/>
                <w:color w:val="010000"/>
              </w:rPr>
              <w:t xml:space="preserve">SECTION 2.05. </w:t>
            </w:r>
            <w:r>
              <w:rPr>
                <w:rFonts w:ascii="Times New Roman" w:cs="Times New Roman" w:eastAsia="Times New Roman" w:hAnsi="Times New Roman"/>
                <w:sz w:val="19"/>
                <w:szCs w:val="19"/>
                <w:color w:val="000000"/>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9"/>
        </w:trPr>
        <w:tc>
          <w:tcPr>
            <w:tcW w:w="2540" w:type="dxa"/>
            <w:vAlign w:val="bottom"/>
            <w:gridSpan w:val="3"/>
          </w:tcPr>
          <w:p>
            <w:pPr>
              <w:spacing w:after="0"/>
              <w:rPr>
                <w:sz w:val="20"/>
                <w:szCs w:val="20"/>
                <w:color w:val="auto"/>
              </w:rPr>
            </w:pPr>
            <w:r>
              <w:rPr>
                <w:rFonts w:ascii="Times New Roman" w:cs="Times New Roman" w:eastAsia="Times New Roman" w:hAnsi="Times New Roman"/>
                <w:sz w:val="19"/>
                <w:szCs w:val="19"/>
                <w:color w:val="010000"/>
                <w:w w:val="99"/>
              </w:rPr>
              <w:t xml:space="preserve">SECTION 2.06. </w:t>
            </w:r>
            <w:r>
              <w:rPr>
                <w:rFonts w:ascii="Times New Roman" w:cs="Times New Roman" w:eastAsia="Times New Roman" w:hAnsi="Times New Roman"/>
                <w:sz w:val="19"/>
                <w:szCs w:val="19"/>
                <w:color w:val="000000"/>
                <w:w w:val="99"/>
              </w:rPr>
              <w:t>Letters of Credit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3060" w:type="dxa"/>
            <w:vAlign w:val="bottom"/>
            <w:gridSpan w:val="6"/>
          </w:tcPr>
          <w:p>
            <w:pPr>
              <w:spacing w:after="0"/>
              <w:rPr>
                <w:sz w:val="20"/>
                <w:szCs w:val="20"/>
                <w:color w:val="auto"/>
              </w:rPr>
            </w:pPr>
            <w:r>
              <w:rPr>
                <w:rFonts w:ascii="Times New Roman" w:cs="Times New Roman" w:eastAsia="Times New Roman" w:hAnsi="Times New Roman"/>
                <w:sz w:val="19"/>
                <w:szCs w:val="19"/>
                <w:color w:val="010000"/>
                <w:w w:val="99"/>
              </w:rPr>
              <w:t xml:space="preserve">SECTION 2.07. </w:t>
            </w:r>
            <w:r>
              <w:rPr>
                <w:rFonts w:ascii="Times New Roman" w:cs="Times New Roman" w:eastAsia="Times New Roman" w:hAnsi="Times New Roman"/>
                <w:sz w:val="19"/>
                <w:szCs w:val="19"/>
                <w:color w:val="000000"/>
                <w:w w:val="99"/>
              </w:rPr>
              <w:t>Funding of Borrowings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46"/>
              <w:spacing w:after="0"/>
              <w:rPr>
                <w:sz w:val="20"/>
                <w:szCs w:val="20"/>
                <w:color w:val="auto"/>
              </w:rPr>
            </w:pPr>
            <w:r>
              <w:rPr>
                <w:rFonts w:ascii="Times New Roman" w:cs="Times New Roman" w:eastAsia="Times New Roman" w:hAnsi="Times New Roman"/>
                <w:sz w:val="19"/>
                <w:szCs w:val="19"/>
                <w:color w:val="auto"/>
                <w:w w:val="94"/>
              </w:rPr>
              <w:t>44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5"/>
        </w:trPr>
        <w:tc>
          <w:tcPr>
            <w:tcW w:w="278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010000"/>
              </w:rPr>
              <w:t xml:space="preserve">SECTION 2.08. </w:t>
            </w:r>
            <w:r>
              <w:rPr>
                <w:rFonts w:ascii="Times New Roman" w:cs="Times New Roman" w:eastAsia="Times New Roman" w:hAnsi="Times New Roman"/>
                <w:sz w:val="19"/>
                <w:szCs w:val="19"/>
                <w:color w:val="000000"/>
              </w:rPr>
              <w:t>Interest Elections</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FF0000"/>
                <w:strike w:val="1"/>
                <w:w w:val="83"/>
              </w:rPr>
              <w:t>45</w:t>
            </w:r>
          </w:p>
        </w:tc>
        <w:tc>
          <w:tcPr>
            <w:tcW w:w="20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0000FF"/>
                <w:w w:val="94"/>
              </w:rPr>
              <w:t>44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560" w:type="dxa"/>
            <w:vAlign w:val="bottom"/>
            <w:gridSpan w:val="13"/>
          </w:tcPr>
          <w:p>
            <w:pPr>
              <w:spacing w:after="0"/>
              <w:rPr>
                <w:sz w:val="20"/>
                <w:szCs w:val="20"/>
                <w:color w:val="auto"/>
              </w:rPr>
            </w:pPr>
            <w:r>
              <w:rPr>
                <w:rFonts w:ascii="Times New Roman" w:cs="Times New Roman" w:eastAsia="Times New Roman" w:hAnsi="Times New Roman"/>
                <w:sz w:val="19"/>
                <w:szCs w:val="19"/>
                <w:color w:val="010000"/>
              </w:rPr>
              <w:t xml:space="preserve">SECTION 2.09. </w:t>
            </w:r>
            <w:r>
              <w:rPr>
                <w:rFonts w:ascii="Times New Roman" w:cs="Times New Roman" w:eastAsia="Times New Roman" w:hAnsi="Times New Roman"/>
                <w:sz w:val="19"/>
                <w:szCs w:val="19"/>
                <w:color w:val="000000"/>
              </w:rPr>
              <w:t>Termination and Reduction of Commitments  46</w:t>
            </w:r>
          </w:p>
        </w:tc>
      </w:tr>
      <w:tr>
        <w:trPr>
          <w:trHeight w:val="232"/>
        </w:trPr>
        <w:tc>
          <w:tcPr>
            <w:tcW w:w="4360" w:type="dxa"/>
            <w:vAlign w:val="bottom"/>
            <w:gridSpan w:val="12"/>
          </w:tcPr>
          <w:p>
            <w:pPr>
              <w:spacing w:after="0"/>
              <w:rPr>
                <w:sz w:val="20"/>
                <w:szCs w:val="20"/>
                <w:color w:val="auto"/>
              </w:rPr>
            </w:pPr>
            <w:r>
              <w:rPr>
                <w:rFonts w:ascii="Times New Roman" w:cs="Times New Roman" w:eastAsia="Times New Roman" w:hAnsi="Times New Roman"/>
                <w:sz w:val="19"/>
                <w:szCs w:val="19"/>
                <w:color w:val="010000"/>
              </w:rPr>
              <w:t xml:space="preserve">SECTION 2.10. </w:t>
            </w:r>
            <w:r>
              <w:rPr>
                <w:rFonts w:ascii="Times New Roman" w:cs="Times New Roman" w:eastAsia="Times New Roman" w:hAnsi="Times New Roman"/>
                <w:sz w:val="19"/>
                <w:szCs w:val="19"/>
                <w:color w:val="000000"/>
              </w:rPr>
              <w:t>Repayment of Loans; Evidence of Debt</w:t>
            </w:r>
          </w:p>
        </w:tc>
        <w:tc>
          <w:tcPr>
            <w:tcW w:w="1200" w:type="dxa"/>
            <w:vAlign w:val="bottom"/>
          </w:tcPr>
          <w:p>
            <w:pPr>
              <w:jc w:val="right"/>
              <w:ind w:right="826"/>
              <w:spacing w:after="0"/>
              <w:rPr>
                <w:sz w:val="20"/>
                <w:szCs w:val="20"/>
                <w:color w:val="auto"/>
              </w:rPr>
            </w:pPr>
            <w:r>
              <w:rPr>
                <w:rFonts w:ascii="Times New Roman" w:cs="Times New Roman" w:eastAsia="Times New Roman" w:hAnsi="Times New Roman"/>
                <w:sz w:val="19"/>
                <w:szCs w:val="19"/>
                <w:color w:val="auto"/>
              </w:rPr>
              <w:t>47</w:t>
            </w:r>
          </w:p>
        </w:tc>
      </w:tr>
      <w:tr>
        <w:trPr>
          <w:trHeight w:val="219"/>
        </w:trPr>
        <w:tc>
          <w:tcPr>
            <w:tcW w:w="3060" w:type="dxa"/>
            <w:vAlign w:val="bottom"/>
            <w:gridSpan w:val="6"/>
          </w:tcPr>
          <w:p>
            <w:pPr>
              <w:spacing w:after="0"/>
              <w:rPr>
                <w:sz w:val="20"/>
                <w:szCs w:val="20"/>
                <w:color w:val="auto"/>
              </w:rPr>
            </w:pPr>
            <w:r>
              <w:rPr>
                <w:rFonts w:ascii="Times New Roman" w:cs="Times New Roman" w:eastAsia="Times New Roman" w:hAnsi="Times New Roman"/>
                <w:sz w:val="19"/>
                <w:szCs w:val="19"/>
                <w:color w:val="010000"/>
              </w:rPr>
              <w:t xml:space="preserve">SECTION 2.11. </w:t>
            </w:r>
            <w:r>
              <w:rPr>
                <w:rFonts w:ascii="Times New Roman" w:cs="Times New Roman" w:eastAsia="Times New Roman" w:hAnsi="Times New Roman"/>
                <w:sz w:val="19"/>
                <w:szCs w:val="19"/>
                <w:color w:val="000000"/>
              </w:rPr>
              <w:t>Prepayment of Loans</w:t>
            </w:r>
          </w:p>
        </w:tc>
        <w:tc>
          <w:tcPr>
            <w:tcW w:w="320" w:type="dxa"/>
            <w:vAlign w:val="bottom"/>
            <w:gridSpan w:val="3"/>
          </w:tcPr>
          <w:p>
            <w:pPr>
              <w:jc w:val="right"/>
              <w:ind w:right="26"/>
              <w:spacing w:after="0"/>
              <w:rPr>
                <w:sz w:val="20"/>
                <w:szCs w:val="20"/>
                <w:color w:val="auto"/>
              </w:rPr>
            </w:pPr>
            <w:r>
              <w:rPr>
                <w:rFonts w:ascii="Times New Roman" w:cs="Times New Roman" w:eastAsia="Times New Roman" w:hAnsi="Times New Roman"/>
                <w:sz w:val="19"/>
                <w:szCs w:val="19"/>
                <w:color w:val="auto"/>
                <w:w w:val="94"/>
              </w:rPr>
              <w:t>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2"/>
        </w:trPr>
        <w:tc>
          <w:tcPr>
            <w:tcW w:w="2140" w:type="dxa"/>
            <w:vAlign w:val="bottom"/>
            <w:gridSpan w:val="2"/>
          </w:tcPr>
          <w:p>
            <w:pPr>
              <w:spacing w:after="0"/>
              <w:rPr>
                <w:sz w:val="20"/>
                <w:szCs w:val="20"/>
                <w:color w:val="auto"/>
              </w:rPr>
            </w:pPr>
            <w:r>
              <w:rPr>
                <w:rFonts w:ascii="Times New Roman" w:cs="Times New Roman" w:eastAsia="Times New Roman" w:hAnsi="Times New Roman"/>
                <w:sz w:val="19"/>
                <w:szCs w:val="19"/>
                <w:color w:val="010000"/>
              </w:rPr>
              <w:t xml:space="preserve">SECTION 2.12. </w:t>
            </w:r>
            <w:r>
              <w:rPr>
                <w:rFonts w:ascii="Times New Roman" w:cs="Times New Roman" w:eastAsia="Times New Roman" w:hAnsi="Times New Roman"/>
                <w:sz w:val="19"/>
                <w:szCs w:val="19"/>
                <w:color w:val="000000"/>
              </w:rPr>
              <w:t>Fees  48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1900" w:type="dxa"/>
            <w:vAlign w:val="bottom"/>
          </w:tcPr>
          <w:p>
            <w:pPr>
              <w:spacing w:after="0"/>
              <w:rPr>
                <w:sz w:val="20"/>
                <w:szCs w:val="20"/>
                <w:color w:val="auto"/>
              </w:rPr>
            </w:pPr>
            <w:r>
              <w:rPr>
                <w:rFonts w:ascii="Times New Roman" w:cs="Times New Roman" w:eastAsia="Times New Roman" w:hAnsi="Times New Roman"/>
                <w:sz w:val="19"/>
                <w:szCs w:val="19"/>
                <w:color w:val="010000"/>
              </w:rPr>
              <w:t xml:space="preserve">SECTION 2.13. </w:t>
            </w:r>
            <w:r>
              <w:rPr>
                <w:rFonts w:ascii="Times New Roman" w:cs="Times New Roman" w:eastAsia="Times New Roman" w:hAnsi="Times New Roman"/>
                <w:sz w:val="19"/>
                <w:szCs w:val="19"/>
                <w:color w:val="000000"/>
              </w:rPr>
              <w:t>Interest</w:t>
            </w:r>
          </w:p>
        </w:tc>
        <w:tc>
          <w:tcPr>
            <w:tcW w:w="640" w:type="dxa"/>
            <w:vAlign w:val="bottom"/>
            <w:gridSpan w:val="2"/>
          </w:tcPr>
          <w:p>
            <w:pPr>
              <w:jc w:val="right"/>
              <w:ind w:right="226"/>
              <w:spacing w:after="0"/>
              <w:rPr>
                <w:sz w:val="20"/>
                <w:szCs w:val="20"/>
                <w:color w:val="auto"/>
              </w:rPr>
            </w:pPr>
            <w:r>
              <w:rPr>
                <w:rFonts w:ascii="Times New Roman" w:cs="Times New Roman" w:eastAsia="Times New Roman" w:hAnsi="Times New Roman"/>
                <w:sz w:val="19"/>
                <w:szCs w:val="19"/>
                <w:color w:val="auto"/>
              </w:rPr>
              <w:t>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9"/>
        </w:trPr>
        <w:tc>
          <w:tcPr>
            <w:tcW w:w="3220" w:type="dxa"/>
            <w:vAlign w:val="bottom"/>
            <w:gridSpan w:val="8"/>
          </w:tcPr>
          <w:p>
            <w:pPr>
              <w:spacing w:after="0"/>
              <w:rPr>
                <w:sz w:val="20"/>
                <w:szCs w:val="20"/>
                <w:color w:val="auto"/>
              </w:rPr>
            </w:pPr>
            <w:r>
              <w:rPr>
                <w:rFonts w:ascii="Times New Roman" w:cs="Times New Roman" w:eastAsia="Times New Roman" w:hAnsi="Times New Roman"/>
                <w:sz w:val="19"/>
                <w:szCs w:val="19"/>
                <w:color w:val="010000"/>
                <w:w w:val="99"/>
              </w:rPr>
              <w:t xml:space="preserve">SECTION 2.14. </w:t>
            </w:r>
            <w:r>
              <w:rPr>
                <w:rFonts w:ascii="Times New Roman" w:cs="Times New Roman" w:eastAsia="Times New Roman" w:hAnsi="Times New Roman"/>
                <w:sz w:val="19"/>
                <w:szCs w:val="19"/>
                <w:color w:val="000000"/>
                <w:w w:val="99"/>
              </w:rPr>
              <w:t>Alternate Rate of Interest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2"/>
        </w:trPr>
        <w:tc>
          <w:tcPr>
            <w:tcW w:w="2540" w:type="dxa"/>
            <w:vAlign w:val="bottom"/>
            <w:gridSpan w:val="3"/>
          </w:tcPr>
          <w:p>
            <w:pPr>
              <w:spacing w:after="0"/>
              <w:rPr>
                <w:sz w:val="20"/>
                <w:szCs w:val="20"/>
                <w:color w:val="auto"/>
              </w:rPr>
            </w:pPr>
            <w:r>
              <w:rPr>
                <w:rFonts w:ascii="Times New Roman" w:cs="Times New Roman" w:eastAsia="Times New Roman" w:hAnsi="Times New Roman"/>
                <w:sz w:val="19"/>
                <w:szCs w:val="19"/>
                <w:color w:val="010000"/>
              </w:rPr>
              <w:t xml:space="preserve">SECTION 2.15. </w:t>
            </w:r>
            <w:r>
              <w:rPr>
                <w:rFonts w:ascii="Times New Roman" w:cs="Times New Roman" w:eastAsia="Times New Roman" w:hAnsi="Times New Roman"/>
                <w:sz w:val="19"/>
                <w:szCs w:val="19"/>
                <w:color w:val="000000"/>
              </w:rPr>
              <w:t>Increased Costs</w:t>
            </w:r>
          </w:p>
        </w:tc>
        <w:tc>
          <w:tcPr>
            <w:tcW w:w="420" w:type="dxa"/>
            <w:vAlign w:val="bottom"/>
            <w:gridSpan w:val="2"/>
          </w:tcPr>
          <w:p>
            <w:pPr>
              <w:jc w:val="right"/>
              <w:ind w:right="26"/>
              <w:spacing w:after="0"/>
              <w:rPr>
                <w:sz w:val="20"/>
                <w:szCs w:val="20"/>
                <w:color w:val="auto"/>
              </w:rPr>
            </w:pPr>
            <w:r>
              <w:rPr>
                <w:rFonts w:ascii="Times New Roman" w:cs="Times New Roman" w:eastAsia="Times New Roman" w:hAnsi="Times New Roman"/>
                <w:sz w:val="19"/>
                <w:szCs w:val="19"/>
                <w:color w:val="auto"/>
              </w:rPr>
              <w:t>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9"/>
        </w:trPr>
        <w:tc>
          <w:tcPr>
            <w:tcW w:w="3220" w:type="dxa"/>
            <w:vAlign w:val="bottom"/>
            <w:gridSpan w:val="8"/>
          </w:tcPr>
          <w:p>
            <w:pPr>
              <w:spacing w:after="0"/>
              <w:rPr>
                <w:sz w:val="20"/>
                <w:szCs w:val="20"/>
                <w:color w:val="auto"/>
              </w:rPr>
            </w:pPr>
            <w:r>
              <w:rPr>
                <w:rFonts w:ascii="Times New Roman" w:cs="Times New Roman" w:eastAsia="Times New Roman" w:hAnsi="Times New Roman"/>
                <w:sz w:val="19"/>
                <w:szCs w:val="19"/>
                <w:color w:val="010000"/>
              </w:rPr>
              <w:t xml:space="preserve">SECTION 2.16. </w:t>
            </w:r>
            <w:r>
              <w:rPr>
                <w:rFonts w:ascii="Times New Roman" w:cs="Times New Roman" w:eastAsia="Times New Roman" w:hAnsi="Times New Roman"/>
                <w:sz w:val="19"/>
                <w:szCs w:val="19"/>
                <w:color w:val="000000"/>
              </w:rPr>
              <w:t>Break Funding Payments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9"/>
                <w:szCs w:val="19"/>
                <w:color w:val="010000"/>
              </w:rPr>
              <w:t xml:space="preserve">SECTION 2.17. </w:t>
            </w:r>
            <w:r>
              <w:rPr>
                <w:rFonts w:ascii="Times New Roman" w:cs="Times New Roman" w:eastAsia="Times New Roman" w:hAnsi="Times New Roman"/>
                <w:sz w:val="19"/>
                <w:szCs w:val="19"/>
                <w:color w:val="000000"/>
              </w:rPr>
              <w:t>Taxes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55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tabs>
          <w:tab w:leader="none" w:pos="6080" w:val="left"/>
        </w:tabs>
        <w:rPr>
          <w:sz w:val="20"/>
          <w:szCs w:val="20"/>
          <w:color w:val="auto"/>
        </w:rPr>
      </w:pPr>
      <w:r>
        <w:rPr>
          <w:rFonts w:ascii="Times New Roman" w:cs="Times New Roman" w:eastAsia="Times New Roman" w:hAnsi="Times New Roman"/>
          <w:sz w:val="19"/>
          <w:szCs w:val="19"/>
          <w:color w:val="010000"/>
        </w:rPr>
        <w:t xml:space="preserve">SECTION 2.18. </w:t>
      </w:r>
      <w:r>
        <w:rPr>
          <w:rFonts w:ascii="Times New Roman" w:cs="Times New Roman" w:eastAsia="Times New Roman" w:hAnsi="Times New Roman"/>
          <w:sz w:val="19"/>
          <w:szCs w:val="19"/>
          <w:color w:val="000000"/>
        </w:rPr>
        <w:t>Payments Generally; Pro Rata Treatment; Sharing of Set-offs</w:t>
      </w:r>
      <w:r>
        <w:rPr>
          <w:sz w:val="20"/>
          <w:szCs w:val="20"/>
          <w:color w:val="auto"/>
        </w:rPr>
        <w:tab/>
      </w:r>
      <w:r>
        <w:rPr>
          <w:rFonts w:ascii="Times New Roman" w:cs="Times New Roman" w:eastAsia="Times New Roman" w:hAnsi="Times New Roman"/>
          <w:sz w:val="18"/>
          <w:szCs w:val="18"/>
          <w:color w:val="auto"/>
        </w:rPr>
        <w:t>58</w:t>
      </w:r>
    </w:p>
    <w:tbl>
      <w:tblPr>
        <w:tblLayout w:type="fixed"/>
        <w:tblInd w:w="0" w:type="dxa"/>
        <w:tblCellMar>
          <w:top w:w="0" w:type="dxa"/>
          <w:left w:w="0" w:type="dxa"/>
          <w:bottom w:w="0" w:type="dxa"/>
          <w:right w:w="0" w:type="dxa"/>
        </w:tblCellMar>
      </w:tblPr>
      <w:tr>
        <w:trPr>
          <w:trHeight w:val="203"/>
        </w:trPr>
        <w:tc>
          <w:tcPr>
            <w:tcW w:w="5140" w:type="dxa"/>
            <w:vAlign w:val="bottom"/>
            <w:gridSpan w:val="11"/>
          </w:tcPr>
          <w:p>
            <w:pPr>
              <w:spacing w:after="0" w:line="203" w:lineRule="exact"/>
              <w:rPr>
                <w:sz w:val="20"/>
                <w:szCs w:val="20"/>
                <w:color w:val="auto"/>
              </w:rPr>
            </w:pPr>
            <w:r>
              <w:rPr>
                <w:rFonts w:ascii="Times New Roman" w:cs="Times New Roman" w:eastAsia="Times New Roman" w:hAnsi="Times New Roman"/>
                <w:sz w:val="19"/>
                <w:szCs w:val="19"/>
                <w:color w:val="010000"/>
              </w:rPr>
              <w:t xml:space="preserve">SECTION 2.19. </w:t>
            </w:r>
            <w:r>
              <w:rPr>
                <w:rFonts w:ascii="Times New Roman" w:cs="Times New Roman" w:eastAsia="Times New Roman" w:hAnsi="Times New Roman"/>
                <w:sz w:val="19"/>
                <w:szCs w:val="19"/>
                <w:color w:val="000000"/>
              </w:rPr>
              <w:t>Mitigation Obligations; Replacement of Lenders</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b w:val="1"/>
                <w:bCs w:val="1"/>
                <w:color w:val="FF0000"/>
                <w:strike w:val="1"/>
                <w:w w:val="83"/>
              </w:rPr>
              <w:t>59</w:t>
            </w:r>
          </w:p>
        </w:tc>
        <w:tc>
          <w:tcPr>
            <w:tcW w:w="20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9"/>
                <w:szCs w:val="19"/>
                <w:b w:val="1"/>
                <w:bCs w:val="1"/>
                <w:color w:val="0000FF"/>
                <w:w w:val="94"/>
              </w:rPr>
              <w:t>60</w:t>
            </w:r>
          </w:p>
        </w:tc>
        <w:tc>
          <w:tcPr>
            <w:tcW w:w="0" w:type="dxa"/>
            <w:vAlign w:val="bottom"/>
          </w:tcPr>
          <w:p>
            <w:pPr>
              <w:spacing w:after="0"/>
              <w:rPr>
                <w:sz w:val="1"/>
                <w:szCs w:val="1"/>
                <w:color w:val="auto"/>
              </w:rPr>
            </w:pPr>
          </w:p>
        </w:tc>
      </w:tr>
      <w:tr>
        <w:trPr>
          <w:trHeight w:val="230"/>
        </w:trPr>
        <w:tc>
          <w:tcPr>
            <w:tcW w:w="2780" w:type="dxa"/>
            <w:vAlign w:val="bottom"/>
            <w:gridSpan w:val="4"/>
          </w:tcPr>
          <w:p>
            <w:pPr>
              <w:spacing w:after="0"/>
              <w:rPr>
                <w:sz w:val="20"/>
                <w:szCs w:val="20"/>
                <w:color w:val="auto"/>
              </w:rPr>
            </w:pPr>
            <w:r>
              <w:rPr>
                <w:rFonts w:ascii="Times New Roman" w:cs="Times New Roman" w:eastAsia="Times New Roman" w:hAnsi="Times New Roman"/>
                <w:sz w:val="19"/>
                <w:szCs w:val="19"/>
                <w:color w:val="010000"/>
              </w:rPr>
              <w:t xml:space="preserve">SECTION 2.20. </w:t>
            </w:r>
            <w:r>
              <w:rPr>
                <w:rFonts w:ascii="Times New Roman" w:cs="Times New Roman" w:eastAsia="Times New Roman" w:hAnsi="Times New Roman"/>
                <w:sz w:val="19"/>
                <w:szCs w:val="19"/>
                <w:color w:val="000000"/>
              </w:rPr>
              <w:t>Expansion Option</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9"/>
                <w:szCs w:val="19"/>
                <w:color w:val="auto"/>
              </w:rPr>
              <w:t>60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gridSpan w:val="4"/>
          </w:tcPr>
          <w:p>
            <w:pPr>
              <w:spacing w:after="0"/>
              <w:rPr>
                <w:sz w:val="20"/>
                <w:szCs w:val="20"/>
                <w:color w:val="auto"/>
              </w:rPr>
            </w:pPr>
            <w:r>
              <w:rPr>
                <w:rFonts w:ascii="Times New Roman" w:cs="Times New Roman" w:eastAsia="Times New Roman" w:hAnsi="Times New Roman"/>
                <w:sz w:val="19"/>
                <w:szCs w:val="19"/>
                <w:color w:val="010000"/>
                <w:w w:val="99"/>
              </w:rPr>
              <w:t xml:space="preserve">SECTION 2.21. </w:t>
            </w:r>
            <w:r>
              <w:rPr>
                <w:rFonts w:ascii="Times New Roman" w:cs="Times New Roman" w:eastAsia="Times New Roman" w:hAnsi="Times New Roman"/>
                <w:sz w:val="19"/>
                <w:szCs w:val="19"/>
                <w:color w:val="000000"/>
                <w:w w:val="99"/>
              </w:rPr>
              <w:t>Judgment Currency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80" w:type="dxa"/>
            <w:vAlign w:val="bottom"/>
            <w:gridSpan w:val="4"/>
          </w:tcPr>
          <w:p>
            <w:pPr>
              <w:spacing w:after="0"/>
              <w:rPr>
                <w:sz w:val="20"/>
                <w:szCs w:val="20"/>
                <w:color w:val="auto"/>
              </w:rPr>
            </w:pPr>
            <w:r>
              <w:rPr>
                <w:rFonts w:ascii="Times New Roman" w:cs="Times New Roman" w:eastAsia="Times New Roman" w:hAnsi="Times New Roman"/>
                <w:sz w:val="19"/>
                <w:szCs w:val="19"/>
                <w:color w:val="010000"/>
              </w:rPr>
              <w:t xml:space="preserve">SECTION 2.22. </w:t>
            </w:r>
            <w:r>
              <w:rPr>
                <w:rFonts w:ascii="Times New Roman" w:cs="Times New Roman" w:eastAsia="Times New Roman" w:hAnsi="Times New Roman"/>
                <w:sz w:val="19"/>
                <w:szCs w:val="19"/>
                <w:color w:val="000000"/>
              </w:rPr>
              <w:t>Defaulting Lenders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78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010000"/>
              </w:rPr>
              <w:t xml:space="preserve">SECTION 2.23. </w:t>
            </w:r>
            <w:r>
              <w:rPr>
                <w:rFonts w:ascii="Times New Roman" w:cs="Times New Roman" w:eastAsia="Times New Roman" w:hAnsi="Times New Roman"/>
                <w:sz w:val="19"/>
                <w:szCs w:val="19"/>
                <w:color w:val="000000"/>
              </w:rPr>
              <w:t>Extension Option</w:t>
            </w:r>
          </w:p>
        </w:tc>
        <w:tc>
          <w:tcPr>
            <w:tcW w:w="20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FF0000"/>
                <w:strike w:val="1"/>
                <w:w w:val="94"/>
              </w:rPr>
              <w:t>63</w:t>
            </w:r>
          </w:p>
        </w:tc>
        <w:tc>
          <w:tcPr>
            <w:tcW w:w="600" w:type="dxa"/>
            <w:vAlign w:val="bottom"/>
            <w:gridSpan w:val="2"/>
          </w:tcPr>
          <w:p>
            <w:pPr>
              <w:jc w:val="right"/>
              <w:ind w:right="420"/>
              <w:spacing w:after="0" w:line="205" w:lineRule="exact"/>
              <w:rPr>
                <w:sz w:val="20"/>
                <w:szCs w:val="20"/>
                <w:color w:val="auto"/>
              </w:rPr>
            </w:pPr>
            <w:r>
              <w:rPr>
                <w:rFonts w:ascii="Times New Roman" w:cs="Times New Roman" w:eastAsia="Times New Roman" w:hAnsi="Times New Roman"/>
                <w:sz w:val="19"/>
                <w:szCs w:val="19"/>
                <w:b w:val="1"/>
                <w:bCs w:val="1"/>
                <w:color w:val="0000FF"/>
                <w:w w:val="83"/>
              </w:rPr>
              <w:t>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80" w:type="dxa"/>
            <w:vAlign w:val="bottom"/>
            <w:gridSpan w:val="7"/>
          </w:tcPr>
          <w:p>
            <w:pPr>
              <w:spacing w:after="0"/>
              <w:rPr>
                <w:sz w:val="20"/>
                <w:szCs w:val="20"/>
                <w:color w:val="auto"/>
              </w:rPr>
            </w:pPr>
            <w:r>
              <w:rPr>
                <w:rFonts w:ascii="Times New Roman" w:cs="Times New Roman" w:eastAsia="Times New Roman" w:hAnsi="Times New Roman"/>
                <w:sz w:val="19"/>
                <w:szCs w:val="19"/>
                <w:color w:val="010000"/>
              </w:rPr>
              <w:t xml:space="preserve">ARTICLE III </w:t>
            </w:r>
            <w:r>
              <w:rPr>
                <w:rFonts w:ascii="Times New Roman" w:cs="Times New Roman" w:eastAsia="Times New Roman" w:hAnsi="Times New Roman"/>
                <w:sz w:val="19"/>
                <w:szCs w:val="19"/>
                <w:color w:val="000000"/>
              </w:rPr>
              <w:t>Representations and Warranties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380" w:type="dxa"/>
            <w:vAlign w:val="bottom"/>
            <w:gridSpan w:val="10"/>
          </w:tcPr>
          <w:p>
            <w:pPr>
              <w:spacing w:after="0"/>
              <w:rPr>
                <w:sz w:val="20"/>
                <w:szCs w:val="20"/>
                <w:color w:val="auto"/>
              </w:rPr>
            </w:pPr>
            <w:r>
              <w:rPr>
                <w:rFonts w:ascii="Times New Roman" w:cs="Times New Roman" w:eastAsia="Times New Roman" w:hAnsi="Times New Roman"/>
                <w:sz w:val="19"/>
                <w:szCs w:val="19"/>
                <w:color w:val="010000"/>
              </w:rPr>
              <w:t xml:space="preserve">SECTION 3.01. </w:t>
            </w:r>
            <w:r>
              <w:rPr>
                <w:rFonts w:ascii="Times New Roman" w:cs="Times New Roman" w:eastAsia="Times New Roman" w:hAnsi="Times New Roman"/>
                <w:sz w:val="19"/>
                <w:szCs w:val="19"/>
                <w:color w:val="000000"/>
              </w:rPr>
              <w:t>Organization; Powers; Subsidiaries  65</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80" w:type="dxa"/>
            <w:vAlign w:val="bottom"/>
            <w:gridSpan w:val="7"/>
          </w:tcPr>
          <w:p>
            <w:pPr>
              <w:spacing w:after="0" w:line="205" w:lineRule="exact"/>
              <w:rPr>
                <w:sz w:val="20"/>
                <w:szCs w:val="20"/>
                <w:color w:val="auto"/>
              </w:rPr>
            </w:pPr>
            <w:r>
              <w:rPr>
                <w:rFonts w:ascii="Times New Roman" w:cs="Times New Roman" w:eastAsia="Times New Roman" w:hAnsi="Times New Roman"/>
                <w:sz w:val="19"/>
                <w:szCs w:val="19"/>
                <w:color w:val="010000"/>
              </w:rPr>
              <w:t xml:space="preserve">SECTION 3.02. </w:t>
            </w:r>
            <w:r>
              <w:rPr>
                <w:rFonts w:ascii="Times New Roman" w:cs="Times New Roman" w:eastAsia="Times New Roman" w:hAnsi="Times New Roman"/>
                <w:sz w:val="19"/>
                <w:szCs w:val="19"/>
                <w:color w:val="000000"/>
              </w:rPr>
              <w:t>Authorization; Enforceability</w:t>
            </w:r>
          </w:p>
        </w:tc>
        <w:tc>
          <w:tcPr>
            <w:tcW w:w="30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FF0000"/>
                <w:strike w:val="1"/>
              </w:rPr>
              <w:t>65</w:t>
            </w:r>
          </w:p>
        </w:tc>
        <w:tc>
          <w:tcPr>
            <w:tcW w:w="50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9"/>
                <w:szCs w:val="19"/>
                <w:b w:val="1"/>
                <w:bCs w:val="1"/>
                <w:color w:val="0000FF"/>
                <w:w w:val="83"/>
              </w:rPr>
              <w:t>66</w:t>
            </w:r>
          </w:p>
        </w:tc>
        <w:tc>
          <w:tcPr>
            <w:tcW w:w="760" w:type="dxa"/>
            <w:vAlign w:val="bottom"/>
            <w:vMerge w:val="restart"/>
          </w:tcPr>
          <w:p>
            <w:pPr>
              <w:jc w:val="right"/>
              <w:ind w:right="406"/>
              <w:spacing w:after="0"/>
              <w:rPr>
                <w:sz w:val="20"/>
                <w:szCs w:val="20"/>
                <w:color w:val="auto"/>
              </w:rPr>
            </w:pPr>
            <w:r>
              <w:rPr>
                <w:rFonts w:ascii="Times New Roman" w:cs="Times New Roman" w:eastAsia="Times New Roman" w:hAnsi="Times New Roman"/>
                <w:sz w:val="19"/>
                <w:szCs w:val="19"/>
                <w:color w:val="auto"/>
              </w:rPr>
              <w:t>66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gridSpan w:val="10"/>
          </w:tcPr>
          <w:p>
            <w:pPr>
              <w:spacing w:after="0"/>
              <w:rPr>
                <w:sz w:val="20"/>
                <w:szCs w:val="20"/>
                <w:color w:val="auto"/>
              </w:rPr>
            </w:pPr>
            <w:r>
              <w:rPr>
                <w:rFonts w:ascii="Times New Roman" w:cs="Times New Roman" w:eastAsia="Times New Roman" w:hAnsi="Times New Roman"/>
                <w:sz w:val="19"/>
                <w:szCs w:val="19"/>
                <w:color w:val="010000"/>
              </w:rPr>
              <w:t xml:space="preserve">SECTION 3.03. </w:t>
            </w:r>
            <w:r>
              <w:rPr>
                <w:rFonts w:ascii="Times New Roman" w:cs="Times New Roman" w:eastAsia="Times New Roman" w:hAnsi="Times New Roman"/>
                <w:sz w:val="19"/>
                <w:szCs w:val="19"/>
                <w:color w:val="000000"/>
              </w:rPr>
              <w:t>Governmental Approvals; No Conflicts</w:t>
            </w:r>
          </w:p>
        </w:tc>
        <w:tc>
          <w:tcPr>
            <w:tcW w:w="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40" w:type="dxa"/>
            <w:vAlign w:val="bottom"/>
            <w:gridSpan w:val="11"/>
          </w:tcPr>
          <w:p>
            <w:pPr>
              <w:spacing w:after="0"/>
              <w:rPr>
                <w:sz w:val="20"/>
                <w:szCs w:val="20"/>
                <w:color w:val="auto"/>
              </w:rPr>
            </w:pPr>
            <w:r>
              <w:rPr>
                <w:rFonts w:ascii="Times New Roman" w:cs="Times New Roman" w:eastAsia="Times New Roman" w:hAnsi="Times New Roman"/>
                <w:sz w:val="19"/>
                <w:szCs w:val="19"/>
                <w:color w:val="010000"/>
                <w:w w:val="99"/>
              </w:rPr>
              <w:t xml:space="preserve">SECTION 3.04. </w:t>
            </w:r>
            <w:r>
              <w:rPr>
                <w:rFonts w:ascii="Times New Roman" w:cs="Times New Roman" w:eastAsia="Times New Roman" w:hAnsi="Times New Roman"/>
                <w:sz w:val="19"/>
                <w:szCs w:val="19"/>
                <w:color w:val="000000"/>
                <w:w w:val="99"/>
              </w:rPr>
              <w:t>Financial Condition; No Material Adverse Change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0" w:type="dxa"/>
            <w:vAlign w:val="bottom"/>
          </w:tcPr>
          <w:p>
            <w:pPr>
              <w:spacing w:after="0"/>
              <w:rPr>
                <w:sz w:val="1"/>
                <w:szCs w:val="1"/>
                <w:color w:val="auto"/>
              </w:rPr>
            </w:pPr>
          </w:p>
        </w:tc>
      </w:tr>
      <w:tr>
        <w:trPr>
          <w:trHeight w:val="205"/>
        </w:trPr>
        <w:tc>
          <w:tcPr>
            <w:tcW w:w="222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10000"/>
              </w:rPr>
              <w:t xml:space="preserve">SECTION 3.05. </w:t>
            </w:r>
            <w:r>
              <w:rPr>
                <w:rFonts w:ascii="Times New Roman" w:cs="Times New Roman" w:eastAsia="Times New Roman" w:hAnsi="Times New Roman"/>
                <w:sz w:val="19"/>
                <w:szCs w:val="19"/>
                <w:color w:val="000000"/>
              </w:rPr>
              <w:t>Properties</w:t>
            </w:r>
          </w:p>
        </w:tc>
        <w:tc>
          <w:tcPr>
            <w:tcW w:w="20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FF0000"/>
                <w:strike w:val="1"/>
                <w:w w:val="94"/>
              </w:rPr>
              <w:t>67</w:t>
            </w:r>
          </w:p>
        </w:tc>
        <w:tc>
          <w:tcPr>
            <w:tcW w:w="360" w:type="dxa"/>
            <w:vAlign w:val="bottom"/>
            <w:gridSpan w:val="2"/>
          </w:tcPr>
          <w:p>
            <w:pPr>
              <w:jc w:val="right"/>
              <w:ind w:right="180"/>
              <w:spacing w:after="0" w:line="205" w:lineRule="exact"/>
              <w:rPr>
                <w:sz w:val="20"/>
                <w:szCs w:val="20"/>
                <w:color w:val="auto"/>
              </w:rPr>
            </w:pPr>
            <w:r>
              <w:rPr>
                <w:rFonts w:ascii="Times New Roman" w:cs="Times New Roman" w:eastAsia="Times New Roman" w:hAnsi="Times New Roman"/>
                <w:sz w:val="19"/>
                <w:szCs w:val="19"/>
                <w:b w:val="1"/>
                <w:bCs w:val="1"/>
                <w:color w:val="0000FF"/>
                <w:w w:val="83"/>
              </w:rPr>
              <w:t>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gridSpan w:val="11"/>
          </w:tcPr>
          <w:p>
            <w:pPr>
              <w:spacing w:after="0"/>
              <w:rPr>
                <w:sz w:val="20"/>
                <w:szCs w:val="20"/>
                <w:color w:val="auto"/>
              </w:rPr>
            </w:pPr>
            <w:r>
              <w:rPr>
                <w:rFonts w:ascii="Times New Roman" w:cs="Times New Roman" w:eastAsia="Times New Roman" w:hAnsi="Times New Roman"/>
                <w:sz w:val="19"/>
                <w:szCs w:val="19"/>
                <w:color w:val="010000"/>
              </w:rPr>
              <w:t xml:space="preserve">SECTION 3.06. </w:t>
            </w:r>
            <w:r>
              <w:rPr>
                <w:rFonts w:ascii="Times New Roman" w:cs="Times New Roman" w:eastAsia="Times New Roman" w:hAnsi="Times New Roman"/>
                <w:sz w:val="19"/>
                <w:szCs w:val="19"/>
                <w:color w:val="000000"/>
              </w:rPr>
              <w:t>Litigation, Environmental and Labor Matters  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80" w:type="dxa"/>
            <w:vAlign w:val="bottom"/>
            <w:gridSpan w:val="10"/>
          </w:tcPr>
          <w:p>
            <w:pPr>
              <w:spacing w:after="0"/>
              <w:rPr>
                <w:sz w:val="20"/>
                <w:szCs w:val="20"/>
                <w:color w:val="auto"/>
              </w:rPr>
            </w:pPr>
            <w:r>
              <w:rPr>
                <w:rFonts w:ascii="Times New Roman" w:cs="Times New Roman" w:eastAsia="Times New Roman" w:hAnsi="Times New Roman"/>
                <w:sz w:val="19"/>
                <w:szCs w:val="19"/>
                <w:color w:val="010000"/>
              </w:rPr>
              <w:t xml:space="preserve">SECTION 3.07. </w:t>
            </w:r>
            <w:r>
              <w:rPr>
                <w:rFonts w:ascii="Times New Roman" w:cs="Times New Roman" w:eastAsia="Times New Roman" w:hAnsi="Times New Roman"/>
                <w:sz w:val="19"/>
                <w:szCs w:val="19"/>
                <w:color w:val="000000"/>
              </w:rPr>
              <w:t>Compliance with Laws and Agreements</w:t>
            </w:r>
          </w:p>
        </w:tc>
        <w:tc>
          <w:tcPr>
            <w:tcW w:w="76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67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40"/>
          </w:cols>
          <w:pgMar w:left="320" w:top="118"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20" w:type="dxa"/>
            <w:vAlign w:val="bottom"/>
            <w:gridSpan w:val="4"/>
          </w:tcPr>
          <w:p>
            <w:pPr>
              <w:spacing w:after="0"/>
              <w:rPr>
                <w:sz w:val="20"/>
                <w:szCs w:val="20"/>
                <w:color w:val="auto"/>
              </w:rPr>
            </w:pPr>
            <w:r>
              <w:rPr>
                <w:rFonts w:ascii="Times New Roman" w:cs="Times New Roman" w:eastAsia="Times New Roman" w:hAnsi="Times New Roman"/>
                <w:sz w:val="19"/>
                <w:szCs w:val="19"/>
                <w:color w:val="010000"/>
              </w:rPr>
              <w:t xml:space="preserve">SECTION 3.08. </w:t>
            </w:r>
            <w:r>
              <w:rPr>
                <w:rFonts w:ascii="Times New Roman" w:cs="Times New Roman" w:eastAsia="Times New Roman" w:hAnsi="Times New Roman"/>
                <w:sz w:val="19"/>
                <w:szCs w:val="19"/>
                <w:color w:val="000000"/>
              </w:rPr>
              <w:t>Investment Company Status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010000"/>
              </w:rPr>
              <w:t xml:space="preserve">SECTION 3.09. </w:t>
            </w:r>
            <w:r>
              <w:rPr>
                <w:rFonts w:ascii="Times New Roman" w:cs="Times New Roman" w:eastAsia="Times New Roman" w:hAnsi="Times New Roman"/>
                <w:sz w:val="19"/>
                <w:szCs w:val="19"/>
                <w:color w:val="000000"/>
              </w:rPr>
              <w:t>Taxes</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67</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5"/>
        </w:trPr>
        <w:tc>
          <w:tcPr>
            <w:tcW w:w="1860" w:type="dxa"/>
            <w:vAlign w:val="bottom"/>
          </w:tcPr>
          <w:p>
            <w:pPr>
              <w:spacing w:after="0" w:line="205" w:lineRule="exact"/>
              <w:rPr>
                <w:sz w:val="20"/>
                <w:szCs w:val="20"/>
                <w:color w:val="auto"/>
              </w:rPr>
            </w:pPr>
            <w:r>
              <w:rPr>
                <w:rFonts w:ascii="Times New Roman" w:cs="Times New Roman" w:eastAsia="Times New Roman" w:hAnsi="Times New Roman"/>
                <w:sz w:val="19"/>
                <w:szCs w:val="19"/>
                <w:color w:val="010000"/>
              </w:rPr>
              <w:t xml:space="preserve">SECTION 3.10. </w:t>
            </w:r>
            <w:r>
              <w:rPr>
                <w:rFonts w:ascii="Times New Roman" w:cs="Times New Roman" w:eastAsia="Times New Roman" w:hAnsi="Times New Roman"/>
                <w:sz w:val="19"/>
                <w:szCs w:val="19"/>
                <w:color w:val="000000"/>
              </w:rPr>
              <w:t>ERISA</w:t>
            </w:r>
          </w:p>
        </w:tc>
        <w:tc>
          <w:tcPr>
            <w:tcW w:w="32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FF0000"/>
                <w:strike w:val="1"/>
              </w:rPr>
              <w:t>68</w:t>
            </w:r>
          </w:p>
        </w:tc>
        <w:tc>
          <w:tcPr>
            <w:tcW w:w="200" w:type="dxa"/>
            <w:vAlign w:val="bottom"/>
            <w:tcBorders>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9"/>
                <w:szCs w:val="19"/>
                <w:b w:val="1"/>
                <w:bCs w:val="1"/>
                <w:color w:val="0000FF"/>
                <w:w w:val="94"/>
              </w:rPr>
              <w:t>67</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180" w:type="dxa"/>
            <w:vAlign w:val="bottom"/>
            <w:gridSpan w:val="2"/>
          </w:tcPr>
          <w:p>
            <w:pPr>
              <w:spacing w:after="0"/>
              <w:rPr>
                <w:sz w:val="20"/>
                <w:szCs w:val="20"/>
                <w:color w:val="auto"/>
              </w:rPr>
            </w:pPr>
            <w:r>
              <w:rPr>
                <w:rFonts w:ascii="Times New Roman" w:cs="Times New Roman" w:eastAsia="Times New Roman" w:hAnsi="Times New Roman"/>
                <w:sz w:val="19"/>
                <w:szCs w:val="19"/>
                <w:color w:val="010000"/>
              </w:rPr>
              <w:t xml:space="preserve">SECTION 3.11. </w:t>
            </w:r>
            <w:r>
              <w:rPr>
                <w:rFonts w:ascii="Times New Roman" w:cs="Times New Roman" w:eastAsia="Times New Roman" w:hAnsi="Times New Roman"/>
                <w:sz w:val="19"/>
                <w:szCs w:val="19"/>
                <w:color w:val="000000"/>
              </w:rPr>
              <w:t>Disclosure</w:t>
            </w:r>
          </w:p>
        </w:tc>
        <w:tc>
          <w:tcPr>
            <w:tcW w:w="1340" w:type="dxa"/>
            <w:vAlign w:val="bottom"/>
            <w:gridSpan w:val="2"/>
          </w:tcPr>
          <w:p>
            <w:pPr>
              <w:jc w:val="right"/>
              <w:ind w:right="1060"/>
              <w:spacing w:after="0"/>
              <w:rPr>
                <w:sz w:val="20"/>
                <w:szCs w:val="20"/>
                <w:color w:val="auto"/>
              </w:rPr>
            </w:pPr>
            <w:r>
              <w:rPr>
                <w:rFonts w:ascii="Times New Roman" w:cs="Times New Roman" w:eastAsia="Times New Roman" w:hAnsi="Times New Roman"/>
                <w:sz w:val="19"/>
                <w:szCs w:val="19"/>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2"/>
        </w:trPr>
        <w:tc>
          <w:tcPr>
            <w:tcW w:w="3520" w:type="dxa"/>
            <w:vAlign w:val="bottom"/>
            <w:gridSpan w:val="4"/>
          </w:tcPr>
          <w:p>
            <w:pPr>
              <w:spacing w:after="0"/>
              <w:rPr>
                <w:sz w:val="20"/>
                <w:szCs w:val="20"/>
                <w:color w:val="auto"/>
              </w:rPr>
            </w:pPr>
            <w:r>
              <w:rPr>
                <w:rFonts w:ascii="Times New Roman" w:cs="Times New Roman" w:eastAsia="Times New Roman" w:hAnsi="Times New Roman"/>
                <w:sz w:val="19"/>
                <w:szCs w:val="19"/>
                <w:color w:val="010000"/>
              </w:rPr>
              <w:t xml:space="preserve">SECTION 3.12. </w:t>
            </w:r>
            <w:r>
              <w:rPr>
                <w:rFonts w:ascii="Times New Roman" w:cs="Times New Roman" w:eastAsia="Times New Roman" w:hAnsi="Times New Roman"/>
                <w:sz w:val="19"/>
                <w:szCs w:val="19"/>
                <w:color w:val="000000"/>
              </w:rPr>
              <w:t>Federal Reserve Regulations</w:t>
            </w:r>
          </w:p>
        </w:tc>
        <w:tc>
          <w:tcPr>
            <w:tcW w:w="480" w:type="dxa"/>
            <w:vAlign w:val="bottom"/>
            <w:gridSpan w:val="4"/>
          </w:tcPr>
          <w:p>
            <w:pPr>
              <w:jc w:val="right"/>
              <w:ind w:right="86"/>
              <w:spacing w:after="0"/>
              <w:rPr>
                <w:sz w:val="20"/>
                <w:szCs w:val="20"/>
                <w:color w:val="auto"/>
              </w:rPr>
            </w:pPr>
            <w:r>
              <w:rPr>
                <w:rFonts w:ascii="Times New Roman" w:cs="Times New Roman" w:eastAsia="Times New Roman" w:hAnsi="Times New Roman"/>
                <w:sz w:val="19"/>
                <w:szCs w:val="19"/>
                <w:color w:val="auto"/>
              </w:rPr>
              <w:t>68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9"/>
        </w:trPr>
        <w:tc>
          <w:tcPr>
            <w:tcW w:w="2180" w:type="dxa"/>
            <w:vAlign w:val="bottom"/>
            <w:gridSpan w:val="2"/>
          </w:tcPr>
          <w:p>
            <w:pPr>
              <w:spacing w:after="0"/>
              <w:rPr>
                <w:sz w:val="20"/>
                <w:szCs w:val="20"/>
                <w:color w:val="auto"/>
              </w:rPr>
            </w:pPr>
            <w:r>
              <w:rPr>
                <w:rFonts w:ascii="Times New Roman" w:cs="Times New Roman" w:eastAsia="Times New Roman" w:hAnsi="Times New Roman"/>
                <w:sz w:val="19"/>
                <w:szCs w:val="19"/>
                <w:color w:val="010000"/>
              </w:rPr>
              <w:t xml:space="preserve">SECTION 3.13. </w:t>
            </w:r>
            <w:r>
              <w:rPr>
                <w:rFonts w:ascii="Times New Roman" w:cs="Times New Roman" w:eastAsia="Times New Roman" w:hAnsi="Times New Roman"/>
                <w:sz w:val="19"/>
                <w:szCs w:val="19"/>
                <w:color w:val="000000"/>
              </w:rPr>
              <w:t>No Default</w:t>
            </w:r>
          </w:p>
        </w:tc>
        <w:tc>
          <w:tcPr>
            <w:tcW w:w="1340" w:type="dxa"/>
            <w:vAlign w:val="bottom"/>
            <w:gridSpan w:val="2"/>
          </w:tcPr>
          <w:p>
            <w:pPr>
              <w:jc w:val="right"/>
              <w:ind w:right="1020"/>
              <w:spacing w:after="0"/>
              <w:rPr>
                <w:sz w:val="20"/>
                <w:szCs w:val="20"/>
                <w:color w:val="auto"/>
              </w:rPr>
            </w:pPr>
            <w:r>
              <w:rPr>
                <w:rFonts w:ascii="Times New Roman" w:cs="Times New Roman" w:eastAsia="Times New Roman" w:hAnsi="Times New Roman"/>
                <w:sz w:val="19"/>
                <w:szCs w:val="19"/>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8"/>
        </w:trPr>
        <w:tc>
          <w:tcPr>
            <w:tcW w:w="4440" w:type="dxa"/>
            <w:vAlign w:val="bottom"/>
            <w:gridSpan w:val="10"/>
          </w:tcPr>
          <w:p>
            <w:pPr>
              <w:spacing w:after="0"/>
              <w:rPr>
                <w:sz w:val="20"/>
                <w:szCs w:val="20"/>
                <w:color w:val="auto"/>
              </w:rPr>
            </w:pPr>
            <w:r>
              <w:rPr>
                <w:rFonts w:ascii="Times New Roman" w:cs="Times New Roman" w:eastAsia="Times New Roman" w:hAnsi="Times New Roman"/>
                <w:sz w:val="19"/>
                <w:szCs w:val="19"/>
                <w:color w:val="010000"/>
              </w:rPr>
              <w:t xml:space="preserve">SECTION 3.14. </w:t>
            </w:r>
            <w:r>
              <w:rPr>
                <w:rFonts w:ascii="Times New Roman" w:cs="Times New Roman" w:eastAsia="Times New Roman" w:hAnsi="Times New Roman"/>
                <w:sz w:val="19"/>
                <w:szCs w:val="19"/>
                <w:color w:val="000000"/>
              </w:rPr>
              <w:t>Anti-Corruption Laws and Sanctions  68</w:t>
            </w:r>
          </w:p>
        </w:tc>
      </w:tr>
      <w:tr>
        <w:trPr>
          <w:trHeight w:val="205"/>
        </w:trPr>
        <w:tc>
          <w:tcPr>
            <w:tcW w:w="3800" w:type="dxa"/>
            <w:vAlign w:val="bottom"/>
            <w:gridSpan w:val="7"/>
          </w:tcPr>
          <w:p>
            <w:pPr>
              <w:spacing w:after="0" w:line="205" w:lineRule="exact"/>
              <w:rPr>
                <w:sz w:val="20"/>
                <w:szCs w:val="20"/>
                <w:color w:val="auto"/>
              </w:rPr>
            </w:pPr>
            <w:r>
              <w:rPr>
                <w:rFonts w:ascii="Times New Roman" w:cs="Times New Roman" w:eastAsia="Times New Roman" w:hAnsi="Times New Roman"/>
                <w:sz w:val="19"/>
                <w:szCs w:val="19"/>
                <w:b w:val="1"/>
                <w:bCs w:val="1"/>
                <w:color w:val="0000FF"/>
                <w:w w:val="99"/>
              </w:rPr>
              <w:t>SECTION 3.15. Affected Financial Institutions</w:t>
            </w:r>
          </w:p>
        </w:tc>
        <w:tc>
          <w:tcPr>
            <w:tcW w:w="640" w:type="dxa"/>
            <w:vAlign w:val="bottom"/>
            <w:gridSpan w:val="3"/>
          </w:tcPr>
          <w:p>
            <w:pPr>
              <w:jc w:val="right"/>
              <w:ind w:right="280"/>
              <w:spacing w:after="0" w:line="205" w:lineRule="exact"/>
              <w:rPr>
                <w:sz w:val="20"/>
                <w:szCs w:val="20"/>
                <w:color w:val="auto"/>
              </w:rPr>
            </w:pPr>
            <w:r>
              <w:rPr>
                <w:rFonts w:ascii="Times New Roman" w:cs="Times New Roman" w:eastAsia="Times New Roman" w:hAnsi="Times New Roman"/>
                <w:sz w:val="19"/>
                <w:szCs w:val="19"/>
                <w:b w:val="1"/>
                <w:bCs w:val="1"/>
                <w:color w:val="0000FF"/>
              </w:rPr>
              <w:t>68</w:t>
            </w:r>
          </w:p>
        </w:tc>
      </w:tr>
      <w:tr>
        <w:trPr>
          <w:trHeight w:val="20"/>
        </w:trPr>
        <w:tc>
          <w:tcPr>
            <w:tcW w:w="36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9"/>
        </w:trPr>
        <w:tc>
          <w:tcPr>
            <w:tcW w:w="3780" w:type="dxa"/>
            <w:vAlign w:val="bottom"/>
            <w:gridSpan w:val="6"/>
          </w:tcPr>
          <w:p>
            <w:pPr>
              <w:spacing w:after="0" w:line="199" w:lineRule="exact"/>
              <w:rPr>
                <w:sz w:val="20"/>
                <w:szCs w:val="20"/>
                <w:color w:val="auto"/>
              </w:rPr>
            </w:pPr>
            <w:r>
              <w:rPr>
                <w:rFonts w:ascii="Times New Roman" w:cs="Times New Roman" w:eastAsia="Times New Roman" w:hAnsi="Times New Roman"/>
                <w:sz w:val="19"/>
                <w:szCs w:val="19"/>
                <w:b w:val="1"/>
                <w:bCs w:val="1"/>
                <w:color w:val="0000FF"/>
              </w:rPr>
              <w:t>SECTION 3.16. Outbound Investment Rules</w:t>
            </w:r>
          </w:p>
        </w:tc>
        <w:tc>
          <w:tcPr>
            <w:tcW w:w="20" w:type="dxa"/>
            <w:vAlign w:val="bottom"/>
          </w:tcPr>
          <w:p>
            <w:pPr>
              <w:spacing w:after="0"/>
              <w:rPr>
                <w:sz w:val="17"/>
                <w:szCs w:val="17"/>
                <w:color w:val="auto"/>
              </w:rPr>
            </w:pPr>
          </w:p>
        </w:tc>
        <w:tc>
          <w:tcPr>
            <w:tcW w:w="360" w:type="dxa"/>
            <w:vAlign w:val="bottom"/>
            <w:gridSpan w:val="2"/>
          </w:tcPr>
          <w:p>
            <w:pPr>
              <w:jc w:val="right"/>
              <w:ind w:right="180"/>
              <w:spacing w:after="0" w:line="199" w:lineRule="exact"/>
              <w:rPr>
                <w:sz w:val="20"/>
                <w:szCs w:val="20"/>
                <w:color w:val="auto"/>
              </w:rPr>
            </w:pPr>
            <w:r>
              <w:rPr>
                <w:rFonts w:ascii="Times New Roman" w:cs="Times New Roman" w:eastAsia="Times New Roman" w:hAnsi="Times New Roman"/>
                <w:sz w:val="19"/>
                <w:szCs w:val="19"/>
                <w:b w:val="1"/>
                <w:bCs w:val="1"/>
                <w:color w:val="0000FF"/>
                <w:w w:val="83"/>
              </w:rPr>
              <w:t>68</w:t>
            </w:r>
          </w:p>
        </w:tc>
        <w:tc>
          <w:tcPr>
            <w:tcW w:w="280" w:type="dxa"/>
            <w:vAlign w:val="bottom"/>
          </w:tcPr>
          <w:p>
            <w:pPr>
              <w:spacing w:after="0"/>
              <w:rPr>
                <w:sz w:val="17"/>
                <w:szCs w:val="17"/>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60" w:type="dxa"/>
            <w:vAlign w:val="bottom"/>
            <w:gridSpan w:val="9"/>
          </w:tcPr>
          <w:p>
            <w:pPr>
              <w:spacing w:after="0"/>
              <w:rPr>
                <w:sz w:val="20"/>
                <w:szCs w:val="20"/>
                <w:color w:val="auto"/>
              </w:rPr>
            </w:pPr>
            <w:r>
              <w:rPr>
                <w:rFonts w:ascii="Times New Roman" w:cs="Times New Roman" w:eastAsia="Times New Roman" w:hAnsi="Times New Roman"/>
                <w:sz w:val="19"/>
                <w:szCs w:val="19"/>
                <w:color w:val="010000"/>
              </w:rPr>
              <w:t xml:space="preserve">ARTICLE IV </w:t>
            </w:r>
            <w:r>
              <w:rPr>
                <w:rFonts w:ascii="Times New Roman" w:cs="Times New Roman" w:eastAsia="Times New Roman" w:hAnsi="Times New Roman"/>
                <w:sz w:val="19"/>
                <w:szCs w:val="19"/>
                <w:color w:val="000000"/>
              </w:rPr>
              <w:t>Conditions  68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3960" w:type="dxa"/>
            <w:vAlign w:val="bottom"/>
            <w:gridSpan w:val="32"/>
          </w:tcPr>
          <w:p>
            <w:pPr>
              <w:spacing w:after="0"/>
              <w:rPr>
                <w:sz w:val="20"/>
                <w:szCs w:val="20"/>
                <w:color w:val="auto"/>
              </w:rPr>
            </w:pPr>
            <w:r>
              <w:rPr>
                <w:rFonts w:ascii="Times New Roman" w:cs="Times New Roman" w:eastAsia="Times New Roman" w:hAnsi="Times New Roman"/>
                <w:sz w:val="19"/>
                <w:szCs w:val="19"/>
                <w:color w:val="010000"/>
              </w:rPr>
              <w:t xml:space="preserve">SECTION 4.01. </w:t>
            </w:r>
            <w:r>
              <w:rPr>
                <w:rFonts w:ascii="Times New Roman" w:cs="Times New Roman" w:eastAsia="Times New Roman" w:hAnsi="Times New Roman"/>
                <w:sz w:val="19"/>
                <w:szCs w:val="19"/>
                <w:b w:val="1"/>
                <w:bCs w:val="1"/>
                <w:color w:val="0000FF"/>
              </w:rPr>
              <w:t>Amendment No. 3</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Effective Date</w:t>
            </w: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68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0000FF"/>
                <w:w w:val="79"/>
              </w:rPr>
              <w:t>68</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660" w:type="dxa"/>
            <w:vAlign w:val="bottom"/>
            <w:gridSpan w:val="9"/>
          </w:tcPr>
          <w:p>
            <w:pPr>
              <w:spacing w:after="0" w:line="212" w:lineRule="exact"/>
              <w:rPr>
                <w:sz w:val="20"/>
                <w:szCs w:val="20"/>
                <w:color w:val="auto"/>
              </w:rPr>
            </w:pPr>
            <w:r>
              <w:rPr>
                <w:rFonts w:ascii="Times New Roman" w:cs="Times New Roman" w:eastAsia="Times New Roman" w:hAnsi="Times New Roman"/>
                <w:sz w:val="19"/>
                <w:szCs w:val="19"/>
                <w:color w:val="010000"/>
                <w:w w:val="98"/>
              </w:rPr>
              <w:t xml:space="preserve">SECTION 4.02. </w:t>
            </w:r>
            <w:r>
              <w:rPr>
                <w:rFonts w:ascii="Times New Roman" w:cs="Times New Roman" w:eastAsia="Times New Roman" w:hAnsi="Times New Roman"/>
                <w:sz w:val="19"/>
                <w:szCs w:val="19"/>
                <w:color w:val="000000"/>
                <w:w w:val="98"/>
              </w:rPr>
              <w:t>Each Credit Event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4"/>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780" w:type="dxa"/>
            <w:vAlign w:val="bottom"/>
            <w:gridSpan w:val="10"/>
          </w:tcPr>
          <w:p>
            <w:pPr>
              <w:spacing w:after="0"/>
              <w:rPr>
                <w:sz w:val="20"/>
                <w:szCs w:val="20"/>
                <w:color w:val="auto"/>
              </w:rPr>
            </w:pPr>
            <w:r>
              <w:rPr>
                <w:rFonts w:ascii="Times New Roman" w:cs="Times New Roman" w:eastAsia="Times New Roman" w:hAnsi="Times New Roman"/>
                <w:sz w:val="19"/>
                <w:szCs w:val="19"/>
                <w:color w:val="010000"/>
                <w:w w:val="98"/>
              </w:rPr>
              <w:t xml:space="preserve">ARTICLE V </w:t>
            </w:r>
            <w:r>
              <w:rPr>
                <w:rFonts w:ascii="Times New Roman" w:cs="Times New Roman" w:eastAsia="Times New Roman" w:hAnsi="Times New Roman"/>
                <w:sz w:val="19"/>
                <w:szCs w:val="19"/>
                <w:color w:val="000000"/>
                <w:w w:val="98"/>
              </w:rPr>
              <w:t>Affirmative Covenants</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FF0000"/>
                <w:strike w:val="1"/>
                <w:w w:val="73"/>
              </w:rPr>
              <w:t>71</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69</w:t>
            </w:r>
          </w:p>
        </w:tc>
        <w:tc>
          <w:tcPr>
            <w:tcW w:w="0" w:type="dxa"/>
            <w:vAlign w:val="bottom"/>
          </w:tcPr>
          <w:p>
            <w:pPr>
              <w:spacing w:after="0"/>
              <w:rPr>
                <w:sz w:val="1"/>
                <w:szCs w:val="1"/>
                <w:color w:val="auto"/>
              </w:rPr>
            </w:pPr>
          </w:p>
        </w:tc>
      </w:tr>
      <w:tr>
        <w:trPr>
          <w:trHeight w:val="410"/>
        </w:trPr>
        <w:tc>
          <w:tcPr>
            <w:tcW w:w="4780" w:type="dxa"/>
            <w:vAlign w:val="bottom"/>
            <w:gridSpan w:val="43"/>
          </w:tcPr>
          <w:p>
            <w:pPr>
              <w:spacing w:after="0"/>
              <w:rPr>
                <w:sz w:val="20"/>
                <w:szCs w:val="20"/>
                <w:color w:val="auto"/>
              </w:rPr>
            </w:pPr>
            <w:r>
              <w:rPr>
                <w:rFonts w:ascii="Times New Roman" w:cs="Times New Roman" w:eastAsia="Times New Roman" w:hAnsi="Times New Roman"/>
                <w:sz w:val="19"/>
                <w:szCs w:val="19"/>
                <w:color w:val="010000"/>
              </w:rPr>
              <w:t xml:space="preserve">SECTION 5.01. </w:t>
            </w:r>
            <w:r>
              <w:rPr>
                <w:rFonts w:ascii="Times New Roman" w:cs="Times New Roman" w:eastAsia="Times New Roman" w:hAnsi="Times New Roman"/>
                <w:sz w:val="19"/>
                <w:szCs w:val="19"/>
                <w:color w:val="000000"/>
              </w:rPr>
              <w:t>Financial Statements and Other Information</w:t>
            </w:r>
          </w:p>
        </w:tc>
        <w:tc>
          <w:tcPr>
            <w:tcW w:w="200" w:type="dxa"/>
            <w:vAlign w:val="bottom"/>
            <w:vMerge w:val="continue"/>
          </w:tcPr>
          <w:p>
            <w:pPr>
              <w:spacing w:after="0"/>
              <w:rPr>
                <w:sz w:val="24"/>
                <w:szCs w:val="24"/>
                <w:color w:val="auto"/>
              </w:rPr>
            </w:pPr>
          </w:p>
        </w:tc>
        <w:tc>
          <w:tcPr>
            <w:tcW w:w="180" w:type="dxa"/>
            <w:vAlign w:val="bottom"/>
            <w:tcBorders>
              <w:bottom w:val="single" w:sz="8" w:color="0000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20" w:type="dxa"/>
            <w:vAlign w:val="bottom"/>
            <w:gridSpan w:val="19"/>
          </w:tcPr>
          <w:p>
            <w:pPr>
              <w:spacing w:after="0" w:line="212" w:lineRule="exact"/>
              <w:rPr>
                <w:sz w:val="20"/>
                <w:szCs w:val="20"/>
                <w:color w:val="auto"/>
              </w:rPr>
            </w:pPr>
            <w:r>
              <w:rPr>
                <w:rFonts w:ascii="Times New Roman" w:cs="Times New Roman" w:eastAsia="Times New Roman" w:hAnsi="Times New Roman"/>
                <w:sz w:val="19"/>
                <w:szCs w:val="19"/>
                <w:color w:val="010000"/>
                <w:w w:val="99"/>
              </w:rPr>
              <w:t xml:space="preserve">SECTION 5.02. </w:t>
            </w:r>
            <w:r>
              <w:rPr>
                <w:rFonts w:ascii="Times New Roman" w:cs="Times New Roman" w:eastAsia="Times New Roman" w:hAnsi="Times New Roman"/>
                <w:sz w:val="19"/>
                <w:szCs w:val="19"/>
                <w:color w:val="000000"/>
                <w:w w:val="99"/>
              </w:rPr>
              <w:t>Notices of Material Events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5"/>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FF0000"/>
                <w:strike w:val="1"/>
              </w:rPr>
              <w:t>72</w:t>
            </w:r>
          </w:p>
        </w:tc>
        <w:tc>
          <w:tcPr>
            <w:tcW w:w="200" w:type="dxa"/>
            <w:vAlign w:val="bottom"/>
            <w:tcBorders>
              <w:bottom w:val="single" w:sz="8" w:color="0000FF"/>
            </w:tcBorders>
            <w:gridSpan w:val="4"/>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0000FF"/>
                <w:w w:val="94"/>
              </w:rPr>
              <w:t>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60" w:type="dxa"/>
            <w:vAlign w:val="bottom"/>
            <w:gridSpan w:val="30"/>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5.03. </w:t>
            </w:r>
            <w:r>
              <w:rPr>
                <w:rFonts w:ascii="Times New Roman" w:cs="Times New Roman" w:eastAsia="Times New Roman" w:hAnsi="Times New Roman"/>
                <w:sz w:val="19"/>
                <w:szCs w:val="19"/>
                <w:color w:val="000000"/>
              </w:rPr>
              <w:t>Existence; Conduct of Business</w:t>
            </w:r>
          </w:p>
        </w:tc>
        <w:tc>
          <w:tcPr>
            <w:tcW w:w="18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w w:val="83"/>
              </w:rPr>
              <w:t>73</w:t>
            </w:r>
          </w:p>
        </w:tc>
        <w:tc>
          <w:tcPr>
            <w:tcW w:w="240" w:type="dxa"/>
            <w:vAlign w:val="bottom"/>
            <w:gridSpan w:val="3"/>
          </w:tcPr>
          <w:p>
            <w:pPr>
              <w:jc w:val="right"/>
              <w:ind w:right="40"/>
              <w:spacing w:after="0" w:line="199" w:lineRule="exact"/>
              <w:rPr>
                <w:sz w:val="20"/>
                <w:szCs w:val="20"/>
                <w:color w:val="auto"/>
              </w:rPr>
            </w:pPr>
            <w:r>
              <w:rPr>
                <w:rFonts w:ascii="Times New Roman" w:cs="Times New Roman" w:eastAsia="Times New Roman" w:hAnsi="Times New Roman"/>
                <w:sz w:val="19"/>
                <w:szCs w:val="19"/>
                <w:b w:val="1"/>
                <w:bCs w:val="1"/>
                <w:color w:val="0000FF"/>
                <w:w w:val="94"/>
              </w:rPr>
              <w:t>71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gridSpan w:val="16"/>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5.04. </w:t>
            </w:r>
            <w:r>
              <w:rPr>
                <w:rFonts w:ascii="Times New Roman" w:cs="Times New Roman" w:eastAsia="Times New Roman" w:hAnsi="Times New Roman"/>
                <w:sz w:val="19"/>
                <w:szCs w:val="19"/>
                <w:color w:val="000000"/>
              </w:rPr>
              <w:t>Payment of Obligations</w:t>
            </w:r>
          </w:p>
        </w:tc>
        <w:tc>
          <w:tcPr>
            <w:tcW w:w="40" w:type="dxa"/>
            <w:vAlign w:val="bottom"/>
          </w:tcPr>
          <w:p>
            <w:pPr>
              <w:spacing w:after="0"/>
              <w:rPr>
                <w:sz w:val="18"/>
                <w:szCs w:val="18"/>
                <w:color w:val="auto"/>
              </w:rPr>
            </w:pPr>
          </w:p>
        </w:tc>
        <w:tc>
          <w:tcPr>
            <w:tcW w:w="180" w:type="dxa"/>
            <w:vAlign w:val="bottom"/>
            <w:gridSpan w:val="5"/>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FF0000"/>
                <w:strike w:val="1"/>
                <w:w w:val="83"/>
              </w:rPr>
              <w:t>73</w:t>
            </w:r>
          </w:p>
        </w:tc>
        <w:tc>
          <w:tcPr>
            <w:tcW w:w="200" w:type="dxa"/>
            <w:vAlign w:val="bottom"/>
            <w:tcBorders>
              <w:bottom w:val="single" w:sz="8" w:color="0000FF"/>
            </w:tcBorders>
            <w:gridSpan w:val="4"/>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0000FF"/>
                <w:w w:val="94"/>
              </w:rPr>
              <w:t>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73</w:t>
            </w:r>
          </w:p>
        </w:tc>
        <w:tc>
          <w:tcPr>
            <w:tcW w:w="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0000FF"/>
                <w:w w:val="79"/>
              </w:rPr>
              <w:t>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36"/>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5.05. </w:t>
            </w:r>
            <w:r>
              <w:rPr>
                <w:rFonts w:ascii="Times New Roman" w:cs="Times New Roman" w:eastAsia="Times New Roman" w:hAnsi="Times New Roman"/>
                <w:sz w:val="19"/>
                <w:szCs w:val="19"/>
                <w:color w:val="000000"/>
              </w:rPr>
              <w:t>Maintenance of Properties; Insurance</w:t>
            </w:r>
          </w:p>
        </w:tc>
        <w:tc>
          <w:tcPr>
            <w:tcW w:w="280" w:type="dxa"/>
            <w:vAlign w:val="bottom"/>
            <w:gridSpan w:val="3"/>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gridSpan w:val="36"/>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5.06. </w:t>
            </w:r>
            <w:r>
              <w:rPr>
                <w:rFonts w:ascii="Times New Roman" w:cs="Times New Roman" w:eastAsia="Times New Roman" w:hAnsi="Times New Roman"/>
                <w:sz w:val="19"/>
                <w:szCs w:val="19"/>
                <w:color w:val="000000"/>
              </w:rPr>
              <w:t>Books and Records; Inspection Rights</w:t>
            </w:r>
          </w:p>
        </w:tc>
        <w:tc>
          <w:tcPr>
            <w:tcW w:w="60" w:type="dxa"/>
            <w:vAlign w:val="bottom"/>
          </w:tcPr>
          <w:p>
            <w:pPr>
              <w:spacing w:after="0"/>
              <w:rPr>
                <w:sz w:val="17"/>
                <w:szCs w:val="17"/>
                <w:color w:val="auto"/>
              </w:rPr>
            </w:pPr>
          </w:p>
        </w:tc>
        <w:tc>
          <w:tcPr>
            <w:tcW w:w="22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w w:val="94"/>
              </w:rPr>
              <w:t>73</w:t>
            </w:r>
          </w:p>
        </w:tc>
        <w:tc>
          <w:tcPr>
            <w:tcW w:w="180" w:type="dxa"/>
            <w:vAlign w:val="bottom"/>
            <w:tcBorders>
              <w:bottom w:val="single" w:sz="8" w:color="0000FF"/>
            </w:tcBorders>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0000FF"/>
                <w:w w:val="83"/>
              </w:rPr>
              <w:t>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gridSpan w:val="16"/>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5.07. </w:t>
            </w:r>
            <w:r>
              <w:rPr>
                <w:rFonts w:ascii="Times New Roman" w:cs="Times New Roman" w:eastAsia="Times New Roman" w:hAnsi="Times New Roman"/>
                <w:sz w:val="19"/>
                <w:szCs w:val="19"/>
                <w:color w:val="000000"/>
              </w:rPr>
              <w:t>Compliance with Laws</w:t>
            </w:r>
          </w:p>
        </w:tc>
        <w:tc>
          <w:tcPr>
            <w:tcW w:w="180" w:type="dxa"/>
            <w:vAlign w:val="bottom"/>
            <w:gridSpan w:val="5"/>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FF0000"/>
                <w:strike w:val="1"/>
                <w:w w:val="83"/>
              </w:rPr>
              <w:t>74</w:t>
            </w:r>
          </w:p>
        </w:tc>
        <w:tc>
          <w:tcPr>
            <w:tcW w:w="240" w:type="dxa"/>
            <w:vAlign w:val="bottom"/>
            <w:gridSpan w:val="5"/>
          </w:tcPr>
          <w:p>
            <w:pPr>
              <w:jc w:val="right"/>
              <w:ind w:right="40"/>
              <w:spacing w:after="0" w:line="212" w:lineRule="exact"/>
              <w:rPr>
                <w:sz w:val="20"/>
                <w:szCs w:val="20"/>
                <w:color w:val="auto"/>
              </w:rPr>
            </w:pPr>
            <w:r>
              <w:rPr>
                <w:rFonts w:ascii="Times New Roman" w:cs="Times New Roman" w:eastAsia="Times New Roman" w:hAnsi="Times New Roman"/>
                <w:sz w:val="19"/>
                <w:szCs w:val="19"/>
                <w:b w:val="1"/>
                <w:bCs w:val="1"/>
                <w:color w:val="0000FF"/>
                <w:w w:val="94"/>
              </w:rPr>
              <w:t>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60" w:type="dxa"/>
            <w:vAlign w:val="bottom"/>
            <w:gridSpan w:val="9"/>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5.08. </w:t>
            </w:r>
            <w:r>
              <w:rPr>
                <w:rFonts w:ascii="Times New Roman" w:cs="Times New Roman" w:eastAsia="Times New Roman" w:hAnsi="Times New Roman"/>
                <w:sz w:val="19"/>
                <w:szCs w:val="19"/>
                <w:color w:val="000000"/>
              </w:rPr>
              <w:t>Use of Proceeds</w:t>
            </w:r>
          </w:p>
        </w:tc>
        <w:tc>
          <w:tcPr>
            <w:tcW w:w="220" w:type="dxa"/>
            <w:vAlign w:val="bottom"/>
            <w:gridSpan w:val="4"/>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rPr>
              <w:t>74</w:t>
            </w:r>
          </w:p>
        </w:tc>
        <w:tc>
          <w:tcPr>
            <w:tcW w:w="240" w:type="dxa"/>
            <w:vAlign w:val="bottom"/>
            <w:tcBorders>
              <w:bottom w:val="single" w:sz="8" w:color="0000FF"/>
            </w:tcBorders>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0000FF"/>
                <w:w w:val="83"/>
              </w:rPr>
              <w:t>72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3320" w:type="dxa"/>
            <w:vAlign w:val="bottom"/>
            <w:gridSpan w:val="19"/>
          </w:tcPr>
          <w:p>
            <w:pPr>
              <w:spacing w:after="0"/>
              <w:rPr>
                <w:sz w:val="20"/>
                <w:szCs w:val="20"/>
                <w:color w:val="auto"/>
              </w:rPr>
            </w:pPr>
            <w:r>
              <w:rPr>
                <w:rFonts w:ascii="Times New Roman" w:cs="Times New Roman" w:eastAsia="Times New Roman" w:hAnsi="Times New Roman"/>
                <w:sz w:val="19"/>
                <w:szCs w:val="19"/>
                <w:b w:val="1"/>
                <w:bCs w:val="1"/>
                <w:color w:val="FF0000"/>
                <w:strike w:val="1"/>
                <w:w w:val="98"/>
              </w:rPr>
              <w:t>SECTION 5.09. Post-Closing Obligations</w:t>
            </w:r>
          </w:p>
        </w:tc>
        <w:tc>
          <w:tcPr>
            <w:tcW w:w="6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660" w:type="dxa"/>
            <w:vAlign w:val="bottom"/>
            <w:gridSpan w:val="9"/>
          </w:tcPr>
          <w:p>
            <w:pPr>
              <w:spacing w:after="0"/>
              <w:rPr>
                <w:sz w:val="20"/>
                <w:szCs w:val="20"/>
                <w:color w:val="auto"/>
              </w:rPr>
            </w:pPr>
            <w:r>
              <w:rPr>
                <w:rFonts w:ascii="Times New Roman" w:cs="Times New Roman" w:eastAsia="Times New Roman" w:hAnsi="Times New Roman"/>
                <w:sz w:val="19"/>
                <w:szCs w:val="19"/>
                <w:color w:val="010000"/>
              </w:rPr>
              <w:t xml:space="preserve">ARTICLE VI </w:t>
            </w:r>
            <w:r>
              <w:rPr>
                <w:rFonts w:ascii="Times New Roman" w:cs="Times New Roman" w:eastAsia="Times New Roman" w:hAnsi="Times New Roman"/>
                <w:sz w:val="19"/>
                <w:szCs w:val="19"/>
                <w:color w:val="000000"/>
              </w:rPr>
              <w:t>Negative Covenants</w:t>
            </w:r>
          </w:p>
        </w:tc>
        <w:tc>
          <w:tcPr>
            <w:tcW w:w="12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74</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72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75</w:t>
            </w: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72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20" w:type="dxa"/>
            <w:vAlign w:val="bottom"/>
            <w:gridSpan w:val="16"/>
          </w:tcPr>
          <w:p>
            <w:pPr>
              <w:spacing w:after="0"/>
              <w:rPr>
                <w:sz w:val="20"/>
                <w:szCs w:val="20"/>
                <w:color w:val="auto"/>
              </w:rPr>
            </w:pPr>
            <w:r>
              <w:rPr>
                <w:rFonts w:ascii="Times New Roman" w:cs="Times New Roman" w:eastAsia="Times New Roman" w:hAnsi="Times New Roman"/>
                <w:sz w:val="19"/>
                <w:szCs w:val="19"/>
                <w:color w:val="010000"/>
              </w:rPr>
              <w:t xml:space="preserve">SECTION 6.01. </w:t>
            </w:r>
            <w:r>
              <w:rPr>
                <w:rFonts w:ascii="Times New Roman" w:cs="Times New Roman" w:eastAsia="Times New Roman" w:hAnsi="Times New Roman"/>
                <w:sz w:val="19"/>
                <w:szCs w:val="19"/>
                <w:color w:val="000000"/>
              </w:rPr>
              <w:t>Subsidiary Indebtedness</w:t>
            </w:r>
          </w:p>
        </w:tc>
        <w:tc>
          <w:tcPr>
            <w:tcW w:w="80" w:type="dxa"/>
            <w:vAlign w:val="bottom"/>
            <w:gridSpan w:val="2"/>
          </w:tcPr>
          <w:p>
            <w:pPr>
              <w:spacing w:after="0"/>
              <w:rPr>
                <w:sz w:val="24"/>
                <w:szCs w:val="24"/>
                <w:color w:val="auto"/>
              </w:rPr>
            </w:pPr>
          </w:p>
        </w:tc>
        <w:tc>
          <w:tcPr>
            <w:tcW w:w="200" w:type="dxa"/>
            <w:vAlign w:val="bottom"/>
            <w:gridSpan w:val="5"/>
            <w:vMerge w:val="continue"/>
          </w:tcPr>
          <w:p>
            <w:pPr>
              <w:spacing w:after="0"/>
              <w:rPr>
                <w:sz w:val="24"/>
                <w:szCs w:val="24"/>
                <w:color w:val="auto"/>
              </w:rPr>
            </w:pPr>
          </w:p>
        </w:tc>
        <w:tc>
          <w:tcPr>
            <w:tcW w:w="200" w:type="dxa"/>
            <w:vAlign w:val="bottom"/>
            <w:tcBorders>
              <w:bottom w:val="single" w:sz="8" w:color="0000FF"/>
            </w:tcBorders>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80" w:type="dxa"/>
            <w:vAlign w:val="bottom"/>
            <w:gridSpan w:val="2"/>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6.02. </w:t>
            </w:r>
            <w:r>
              <w:rPr>
                <w:rFonts w:ascii="Times New Roman" w:cs="Times New Roman" w:eastAsia="Times New Roman" w:hAnsi="Times New Roman"/>
                <w:sz w:val="19"/>
                <w:szCs w:val="19"/>
                <w:color w:val="000000"/>
              </w:rPr>
              <w:t>Liens</w:t>
            </w:r>
          </w:p>
        </w:tc>
        <w:tc>
          <w:tcPr>
            <w:tcW w:w="20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FF0000"/>
                <w:strike w:val="1"/>
                <w:w w:val="94"/>
              </w:rPr>
              <w:t>76</w:t>
            </w:r>
          </w:p>
        </w:tc>
        <w:tc>
          <w:tcPr>
            <w:tcW w:w="18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0000FF"/>
                <w:w w:val="83"/>
              </w:rPr>
              <w:t>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78</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gridSpan w:val="32"/>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6.03. </w:t>
            </w:r>
            <w:r>
              <w:rPr>
                <w:rFonts w:ascii="Times New Roman" w:cs="Times New Roman" w:eastAsia="Times New Roman" w:hAnsi="Times New Roman"/>
                <w:sz w:val="19"/>
                <w:szCs w:val="19"/>
                <w:color w:val="000000"/>
              </w:rPr>
              <w:t>Sale and Leaseback Transactions</w:t>
            </w:r>
          </w:p>
        </w:tc>
        <w:tc>
          <w:tcPr>
            <w:tcW w:w="180" w:type="dxa"/>
            <w:vAlign w:val="bottom"/>
            <w:gridSpan w:val="2"/>
            <w:vMerge w:val="continue"/>
          </w:tcPr>
          <w:p>
            <w:pPr>
              <w:spacing w:after="0"/>
              <w:rPr>
                <w:sz w:val="17"/>
                <w:szCs w:val="17"/>
                <w:color w:val="auto"/>
              </w:rPr>
            </w:pPr>
          </w:p>
        </w:tc>
        <w:tc>
          <w:tcPr>
            <w:tcW w:w="200" w:type="dxa"/>
            <w:vAlign w:val="bottom"/>
            <w:tcBorders>
              <w:bottom w:val="single" w:sz="8" w:color="0000FF"/>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78</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80" w:type="dxa"/>
            <w:vAlign w:val="bottom"/>
            <w:gridSpan w:val="36"/>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6.04. </w:t>
            </w:r>
            <w:r>
              <w:rPr>
                <w:rFonts w:ascii="Times New Roman" w:cs="Times New Roman" w:eastAsia="Times New Roman" w:hAnsi="Times New Roman"/>
                <w:sz w:val="19"/>
                <w:szCs w:val="19"/>
                <w:color w:val="000000"/>
              </w:rPr>
              <w:t>Fundamental Changes and Asset Sales</w:t>
            </w:r>
          </w:p>
        </w:tc>
        <w:tc>
          <w:tcPr>
            <w:tcW w:w="100" w:type="dxa"/>
            <w:vAlign w:val="bottom"/>
            <w:gridSpan w:val="2"/>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Borders>
              <w:bottom w:val="single" w:sz="8" w:color="0000FF"/>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gridSpan w:val="10"/>
          </w:tcPr>
          <w:p>
            <w:pPr>
              <w:spacing w:after="0" w:line="212" w:lineRule="exact"/>
              <w:rPr>
                <w:sz w:val="20"/>
                <w:szCs w:val="20"/>
                <w:color w:val="auto"/>
              </w:rPr>
            </w:pPr>
            <w:r>
              <w:rPr>
                <w:rFonts w:ascii="Times New Roman" w:cs="Times New Roman" w:eastAsia="Times New Roman" w:hAnsi="Times New Roman"/>
                <w:sz w:val="19"/>
                <w:szCs w:val="19"/>
                <w:color w:val="010000"/>
                <w:w w:val="99"/>
              </w:rPr>
              <w:t xml:space="preserve">SECTION 6.05. </w:t>
            </w:r>
            <w:r>
              <w:rPr>
                <w:rFonts w:ascii="Times New Roman" w:cs="Times New Roman" w:eastAsia="Times New Roman" w:hAnsi="Times New Roman"/>
                <w:sz w:val="19"/>
                <w:szCs w:val="19"/>
                <w:color w:val="000000"/>
                <w:w w:val="99"/>
              </w:rPr>
              <w:t>Financial Covenant</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19"/>
                <w:szCs w:val="19"/>
                <w:b w:val="1"/>
                <w:bCs w:val="1"/>
                <w:color w:val="FF0000"/>
                <w:strike w:val="1"/>
                <w:w w:val="73"/>
              </w:rPr>
              <w:t>79</w:t>
            </w:r>
          </w:p>
        </w:tc>
        <w:tc>
          <w:tcPr>
            <w:tcW w:w="200" w:type="dxa"/>
            <w:vAlign w:val="bottom"/>
            <w:tcBorders>
              <w:bottom w:val="single" w:sz="8" w:color="0000FF"/>
            </w:tcBorders>
            <w:gridSpan w:val="4"/>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0000FF"/>
                <w:w w:val="94"/>
              </w:rPr>
              <w:t>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660" w:type="dxa"/>
            <w:vAlign w:val="bottom"/>
            <w:gridSpan w:val="9"/>
          </w:tcPr>
          <w:p>
            <w:pPr>
              <w:spacing w:after="0"/>
              <w:rPr>
                <w:sz w:val="20"/>
                <w:szCs w:val="20"/>
                <w:color w:val="auto"/>
              </w:rPr>
            </w:pPr>
            <w:r>
              <w:rPr>
                <w:rFonts w:ascii="Times New Roman" w:cs="Times New Roman" w:eastAsia="Times New Roman" w:hAnsi="Times New Roman"/>
                <w:sz w:val="19"/>
                <w:szCs w:val="19"/>
                <w:color w:val="010000"/>
              </w:rPr>
              <w:t xml:space="preserve">ARTICLE VII </w:t>
            </w:r>
            <w:r>
              <w:rPr>
                <w:rFonts w:ascii="Times New Roman" w:cs="Times New Roman" w:eastAsia="Times New Roman" w:hAnsi="Times New Roman"/>
                <w:sz w:val="19"/>
                <w:szCs w:val="19"/>
                <w:color w:val="000000"/>
              </w:rPr>
              <w:t>Events of Default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79</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76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81</w:t>
            </w:r>
          </w:p>
        </w:tc>
        <w:tc>
          <w:tcPr>
            <w:tcW w:w="28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9"/>
                <w:szCs w:val="19"/>
                <w:b w:val="1"/>
                <w:bCs w:val="1"/>
                <w:color w:val="0000FF"/>
                <w:w w:val="83"/>
              </w:rPr>
              <w:t>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20" w:type="dxa"/>
            <w:vAlign w:val="bottom"/>
            <w:gridSpan w:val="16"/>
          </w:tcPr>
          <w:p>
            <w:pPr>
              <w:spacing w:after="0"/>
              <w:rPr>
                <w:sz w:val="20"/>
                <w:szCs w:val="20"/>
                <w:color w:val="auto"/>
              </w:rPr>
            </w:pPr>
            <w:r>
              <w:rPr>
                <w:rFonts w:ascii="Times New Roman" w:cs="Times New Roman" w:eastAsia="Times New Roman" w:hAnsi="Times New Roman"/>
                <w:sz w:val="19"/>
                <w:szCs w:val="19"/>
                <w:color w:val="010000"/>
                <w:w w:val="99"/>
              </w:rPr>
              <w:t xml:space="preserve">ARTICLE VIII </w:t>
            </w:r>
            <w:r>
              <w:rPr>
                <w:rFonts w:ascii="Times New Roman" w:cs="Times New Roman" w:eastAsia="Times New Roman" w:hAnsi="Times New Roman"/>
                <w:sz w:val="19"/>
                <w:szCs w:val="19"/>
                <w:color w:val="000000"/>
                <w:w w:val="99"/>
              </w:rPr>
              <w:t>The Administrative Agent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4"/>
            <w:vMerge w:val="continue"/>
          </w:tcPr>
          <w:p>
            <w:pPr>
              <w:spacing w:after="0"/>
              <w:rPr>
                <w:sz w:val="24"/>
                <w:szCs w:val="24"/>
                <w:color w:val="auto"/>
              </w:rPr>
            </w:pPr>
          </w:p>
        </w:tc>
        <w:tc>
          <w:tcPr>
            <w:tcW w:w="28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60" w:type="dxa"/>
            <w:vAlign w:val="bottom"/>
            <w:gridSpan w:val="6"/>
          </w:tcPr>
          <w:p>
            <w:pPr>
              <w:spacing w:after="0"/>
              <w:rPr>
                <w:sz w:val="20"/>
                <w:szCs w:val="20"/>
                <w:color w:val="auto"/>
              </w:rPr>
            </w:pPr>
            <w:r>
              <w:rPr>
                <w:rFonts w:ascii="Times New Roman" w:cs="Times New Roman" w:eastAsia="Times New Roman" w:hAnsi="Times New Roman"/>
                <w:sz w:val="19"/>
                <w:szCs w:val="19"/>
                <w:color w:val="010000"/>
              </w:rPr>
              <w:t xml:space="preserve">ARTICLE IX </w:t>
            </w:r>
            <w:r>
              <w:rPr>
                <w:rFonts w:ascii="Times New Roman" w:cs="Times New Roman" w:eastAsia="Times New Roman" w:hAnsi="Times New Roman"/>
                <w:sz w:val="19"/>
                <w:szCs w:val="19"/>
                <w:color w:val="000000"/>
              </w:rPr>
              <w:t>Miscellaneous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85</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880" w:type="dxa"/>
            <w:vAlign w:val="bottom"/>
            <w:gridSpan w:val="2"/>
          </w:tcPr>
          <w:p>
            <w:pPr>
              <w:spacing w:after="0"/>
              <w:rPr>
                <w:sz w:val="20"/>
                <w:szCs w:val="20"/>
                <w:color w:val="auto"/>
              </w:rPr>
            </w:pPr>
            <w:r>
              <w:rPr>
                <w:rFonts w:ascii="Times New Roman" w:cs="Times New Roman" w:eastAsia="Times New Roman" w:hAnsi="Times New Roman"/>
                <w:sz w:val="19"/>
                <w:szCs w:val="19"/>
                <w:color w:val="010000"/>
              </w:rPr>
              <w:t xml:space="preserve">SECTION 9.01. </w:t>
            </w:r>
            <w:r>
              <w:rPr>
                <w:rFonts w:ascii="Times New Roman" w:cs="Times New Roman" w:eastAsia="Times New Roman" w:hAnsi="Times New Roman"/>
                <w:sz w:val="19"/>
                <w:szCs w:val="19"/>
                <w:color w:val="000000"/>
              </w:rPr>
              <w:t>Notices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rPr>
              <w:t>85</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83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9"/>
          <w:szCs w:val="19"/>
          <w:color w:val="010000"/>
        </w:rPr>
        <w:t xml:space="preserve">SECTION 9.02. </w:t>
      </w:r>
      <w:r>
        <w:rPr>
          <w:rFonts w:ascii="Times New Roman" w:cs="Times New Roman" w:eastAsia="Times New Roman" w:hAnsi="Times New Roman"/>
          <w:sz w:val="19"/>
          <w:szCs w:val="19"/>
          <w:color w:val="000000"/>
        </w:rPr>
        <w:t>Waivers; Amendments</w:t>
      </w:r>
      <w:r>
        <w:rPr>
          <w:sz w:val="20"/>
          <w:szCs w:val="20"/>
          <w:color w:val="auto"/>
        </w:rPr>
        <w:tab/>
      </w:r>
      <w:r>
        <w:rPr>
          <w:rFonts w:ascii="Times New Roman" w:cs="Times New Roman" w:eastAsia="Times New Roman" w:hAnsi="Times New Roman"/>
          <w:sz w:val="18"/>
          <w:szCs w:val="18"/>
          <w:b w:val="1"/>
          <w:bCs w:val="1"/>
          <w:color w:val="FF0000"/>
          <w:strike w:val="1"/>
        </w:rPr>
        <w:t>87</w:t>
      </w:r>
      <w:r>
        <w:rPr>
          <w:rFonts w:ascii="Times New Roman" w:cs="Times New Roman" w:eastAsia="Times New Roman" w:hAnsi="Times New Roman"/>
          <w:sz w:val="18"/>
          <w:szCs w:val="18"/>
          <w:b w:val="1"/>
          <w:bCs w:val="1"/>
          <w:u w:val="single" w:color="auto"/>
          <w:color w:val="0000FF"/>
          <w:strike w:val="1"/>
        </w:rPr>
        <w:t>85</w:t>
      </w:r>
    </w:p>
    <w:p>
      <w:pPr>
        <w:spacing w:after="0" w:line="25"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010000"/>
        </w:rPr>
        <w:t xml:space="preserve">SECTION 9.03. </w:t>
      </w:r>
      <w:r>
        <w:rPr>
          <w:rFonts w:ascii="Times New Roman" w:cs="Times New Roman" w:eastAsia="Times New Roman" w:hAnsi="Times New Roman"/>
          <w:sz w:val="19"/>
          <w:szCs w:val="19"/>
          <w:color w:val="000000"/>
        </w:rPr>
        <w:t>Expenses; Limitation of Liability; Indemnity; Etc</w:t>
      </w:r>
      <w:r>
        <w:rPr>
          <w:sz w:val="20"/>
          <w:szCs w:val="20"/>
          <w:color w:val="auto"/>
        </w:rPr>
        <w:tab/>
      </w:r>
      <w:r>
        <w:rPr>
          <w:rFonts w:ascii="Times New Roman" w:cs="Times New Roman" w:eastAsia="Times New Roman" w:hAnsi="Times New Roman"/>
          <w:sz w:val="18"/>
          <w:szCs w:val="18"/>
          <w:b w:val="1"/>
          <w:bCs w:val="1"/>
          <w:color w:val="FF0000"/>
          <w:strike w:val="1"/>
        </w:rPr>
        <w:t>88</w:t>
      </w:r>
      <w:r>
        <w:rPr>
          <w:rFonts w:ascii="Times New Roman" w:cs="Times New Roman" w:eastAsia="Times New Roman" w:hAnsi="Times New Roman"/>
          <w:sz w:val="18"/>
          <w:szCs w:val="18"/>
          <w:b w:val="1"/>
          <w:bCs w:val="1"/>
          <w:u w:val="single" w:color="auto"/>
          <w:color w:val="0000FF"/>
          <w:strike w:val="1"/>
        </w:rPr>
        <w:t>86</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40"/>
          </w:cols>
          <w:pgMar w:left="320" w:top="118"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260" w:type="dxa"/>
            <w:vAlign w:val="bottom"/>
            <w:gridSpan w:val="12"/>
            <w:vMerge w:val="restart"/>
          </w:tcPr>
          <w:p>
            <w:pPr>
              <w:spacing w:after="0"/>
              <w:rPr>
                <w:sz w:val="20"/>
                <w:szCs w:val="20"/>
                <w:color w:val="auto"/>
              </w:rPr>
            </w:pPr>
            <w:r>
              <w:rPr>
                <w:rFonts w:ascii="Times New Roman" w:cs="Times New Roman" w:eastAsia="Times New Roman" w:hAnsi="Times New Roman"/>
                <w:sz w:val="19"/>
                <w:szCs w:val="19"/>
                <w:color w:val="010000"/>
              </w:rPr>
              <w:t xml:space="preserve">SECTION 9.04. </w:t>
            </w:r>
            <w:r>
              <w:rPr>
                <w:rFonts w:ascii="Times New Roman" w:cs="Times New Roman" w:eastAsia="Times New Roman" w:hAnsi="Times New Roman"/>
                <w:sz w:val="19"/>
                <w:szCs w:val="19"/>
                <w:color w:val="000000"/>
              </w:rPr>
              <w:t>Successors and Assigns</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FF0000"/>
                <w:strike w:val="1"/>
                <w:w w:val="83"/>
              </w:rPr>
              <w:t>90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88</w:t>
            </w:r>
          </w:p>
        </w:tc>
        <w:tc>
          <w:tcPr>
            <w:tcW w:w="14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030" w:type="dxa"/>
            <w:vAlign w:val="bottom"/>
            <w:vMerge w:val="restart"/>
          </w:tcPr>
          <w:p>
            <w:pPr>
              <w:spacing w:after="0"/>
              <w:rPr>
                <w:sz w:val="3"/>
                <w:szCs w:val="3"/>
                <w:color w:val="auto"/>
              </w:rPr>
            </w:pPr>
          </w:p>
        </w:tc>
        <w:tc>
          <w:tcPr>
            <w:tcW w:w="19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gridSpan w:val="1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0" w:type="dxa"/>
            <w:vAlign w:val="bottom"/>
            <w:tcBorders>
              <w:bottom w:val="single" w:sz="8" w:color="0000FF"/>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30" w:type="dxa"/>
            <w:vAlign w:val="bottom"/>
            <w:vMerge w:val="continue"/>
          </w:tcPr>
          <w:p>
            <w:pPr>
              <w:spacing w:after="0"/>
              <w:rPr>
                <w:sz w:val="15"/>
                <w:szCs w:val="15"/>
                <w:color w:val="auto"/>
              </w:rPr>
            </w:pPr>
          </w:p>
        </w:tc>
        <w:tc>
          <w:tcPr>
            <w:tcW w:w="19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00" w:type="dxa"/>
            <w:vAlign w:val="bottom"/>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9.05. </w:t>
            </w:r>
            <w:r>
              <w:rPr>
                <w:rFonts w:ascii="Times New Roman" w:cs="Times New Roman" w:eastAsia="Times New Roman" w:hAnsi="Times New Roman"/>
                <w:sz w:val="19"/>
                <w:szCs w:val="19"/>
                <w:color w:val="000000"/>
              </w:rPr>
              <w:t>Survival</w:t>
            </w:r>
          </w:p>
        </w:tc>
        <w:tc>
          <w:tcPr>
            <w:tcW w:w="280" w:type="dxa"/>
            <w:vAlign w:val="bottom"/>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w w:val="94"/>
              </w:rPr>
              <w:t>94</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0000FF"/>
                <w:w w:val="79"/>
              </w:rPr>
              <w:t>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3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FF0000"/>
                <w:strike w:val="1"/>
                <w:w w:val="83"/>
              </w:rPr>
              <w:t>94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92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3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90" w:type="dxa"/>
            <w:vAlign w:val="bottom"/>
            <w:gridSpan w:val="19"/>
          </w:tcPr>
          <w:p>
            <w:pPr>
              <w:spacing w:after="0" w:line="212" w:lineRule="exact"/>
              <w:rPr>
                <w:sz w:val="20"/>
                <w:szCs w:val="20"/>
                <w:color w:val="auto"/>
              </w:rPr>
            </w:pPr>
            <w:r>
              <w:rPr>
                <w:rFonts w:ascii="Times New Roman" w:cs="Times New Roman" w:eastAsia="Times New Roman" w:hAnsi="Times New Roman"/>
                <w:sz w:val="19"/>
                <w:szCs w:val="19"/>
                <w:color w:val="010000"/>
                <w:w w:val="99"/>
              </w:rPr>
              <w:t xml:space="preserve">SECTION 9.06. </w:t>
            </w:r>
            <w:r>
              <w:rPr>
                <w:rFonts w:ascii="Times New Roman" w:cs="Times New Roman" w:eastAsia="Times New Roman" w:hAnsi="Times New Roman"/>
                <w:sz w:val="19"/>
                <w:szCs w:val="19"/>
                <w:color w:val="000000"/>
                <w:w w:val="99"/>
              </w:rPr>
              <w:t>Counterparts; Integration; Effectiveness; Electronic Execution</w:t>
            </w:r>
          </w:p>
        </w:tc>
        <w:tc>
          <w:tcPr>
            <w:tcW w:w="19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8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gridSpan w:val="2"/>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9.07. </w:t>
            </w:r>
            <w:r>
              <w:rPr>
                <w:rFonts w:ascii="Times New Roman" w:cs="Times New Roman" w:eastAsia="Times New Roman" w:hAnsi="Times New Roman"/>
                <w:sz w:val="19"/>
                <w:szCs w:val="19"/>
                <w:color w:val="000000"/>
              </w:rPr>
              <w:t>Severability</w:t>
            </w:r>
          </w:p>
        </w:tc>
        <w:tc>
          <w:tcPr>
            <w:tcW w:w="18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w w:val="83"/>
              </w:rPr>
              <w:t>95</w:t>
            </w:r>
          </w:p>
        </w:tc>
        <w:tc>
          <w:tcPr>
            <w:tcW w:w="200" w:type="dxa"/>
            <w:vAlign w:val="bottom"/>
            <w:tcBorders>
              <w:bottom w:val="single" w:sz="8" w:color="0000FF"/>
            </w:tcBorders>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0000FF"/>
                <w:w w:val="94"/>
              </w:rPr>
              <w:t>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3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5"/>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9.08. </w:t>
            </w:r>
            <w:r>
              <w:rPr>
                <w:rFonts w:ascii="Times New Roman" w:cs="Times New Roman" w:eastAsia="Times New Roman" w:hAnsi="Times New Roman"/>
                <w:sz w:val="19"/>
                <w:szCs w:val="19"/>
                <w:color w:val="000000"/>
              </w:rPr>
              <w:t>Right of Setoff</w:t>
            </w:r>
          </w:p>
        </w:tc>
        <w:tc>
          <w:tcPr>
            <w:tcW w:w="220" w:type="dxa"/>
            <w:vAlign w:val="bottom"/>
            <w:gridSpan w:val="3"/>
          </w:tcPr>
          <w:p>
            <w:pPr>
              <w:ind w:left="40"/>
              <w:spacing w:after="0" w:line="212" w:lineRule="exact"/>
              <w:rPr>
                <w:sz w:val="20"/>
                <w:szCs w:val="20"/>
                <w:color w:val="auto"/>
              </w:rPr>
            </w:pPr>
            <w:r>
              <w:rPr>
                <w:rFonts w:ascii="Times New Roman" w:cs="Times New Roman" w:eastAsia="Times New Roman" w:hAnsi="Times New Roman"/>
                <w:sz w:val="19"/>
                <w:szCs w:val="19"/>
                <w:b w:val="1"/>
                <w:bCs w:val="1"/>
                <w:color w:val="FF0000"/>
                <w:strike w:val="1"/>
                <w:w w:val="83"/>
              </w:rPr>
              <w:t>95</w:t>
            </w:r>
          </w:p>
        </w:tc>
        <w:tc>
          <w:tcPr>
            <w:tcW w:w="20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0000FF"/>
                <w:w w:val="94"/>
              </w:rPr>
              <w:t>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30" w:type="dxa"/>
            <w:vAlign w:val="bottom"/>
          </w:tcPr>
          <w:p>
            <w:pPr>
              <w:spacing w:after="0"/>
              <w:rPr>
                <w:sz w:val="18"/>
                <w:szCs w:val="18"/>
                <w:color w:val="auto"/>
              </w:rPr>
            </w:pPr>
          </w:p>
        </w:tc>
        <w:tc>
          <w:tcPr>
            <w:tcW w:w="19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96</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0000FF"/>
              </w:rPr>
              <w:t>94</w:t>
            </w:r>
          </w:p>
        </w:tc>
        <w:tc>
          <w:tcPr>
            <w:tcW w:w="0" w:type="dxa"/>
            <w:vAlign w:val="bottom"/>
          </w:tcPr>
          <w:p>
            <w:pPr>
              <w:spacing w:after="0"/>
              <w:rPr>
                <w:sz w:val="1"/>
                <w:szCs w:val="1"/>
                <w:color w:val="auto"/>
              </w:rPr>
            </w:pPr>
          </w:p>
        </w:tc>
      </w:tr>
      <w:tr>
        <w:trPr>
          <w:trHeight w:val="212"/>
        </w:trPr>
        <w:tc>
          <w:tcPr>
            <w:tcW w:w="5990" w:type="dxa"/>
            <w:vAlign w:val="bottom"/>
            <w:gridSpan w:val="19"/>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9.09. </w:t>
            </w:r>
            <w:r>
              <w:rPr>
                <w:rFonts w:ascii="Times New Roman" w:cs="Times New Roman" w:eastAsia="Times New Roman" w:hAnsi="Times New Roman"/>
                <w:sz w:val="19"/>
                <w:szCs w:val="19"/>
                <w:color w:val="000000"/>
              </w:rPr>
              <w:t>Governing Law; Jurisdiction; Consent to Service of Process</w:t>
            </w:r>
          </w:p>
        </w:tc>
        <w:tc>
          <w:tcPr>
            <w:tcW w:w="19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40" w:type="dxa"/>
            <w:vAlign w:val="bottom"/>
            <w:gridSpan w:val="16"/>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9.10. </w:t>
            </w:r>
            <w:r>
              <w:rPr>
                <w:rFonts w:ascii="Times New Roman" w:cs="Times New Roman" w:eastAsia="Times New Roman" w:hAnsi="Times New Roman"/>
                <w:sz w:val="19"/>
                <w:szCs w:val="19"/>
                <w:color w:val="000000"/>
              </w:rPr>
              <w:t>WAIVER OF JURY 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FF0000"/>
                <w:strike w:val="1"/>
                <w:w w:val="70"/>
              </w:rPr>
              <w:t>96</w:t>
            </w:r>
          </w:p>
        </w:tc>
        <w:tc>
          <w:tcPr>
            <w:tcW w:w="180" w:type="dxa"/>
            <w:vAlign w:val="bottom"/>
            <w:tcBorders>
              <w:bottom w:val="single" w:sz="8" w:color="0000FF"/>
            </w:tcBorders>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0000FF"/>
                <w:w w:val="83"/>
              </w:rPr>
              <w:t>94</w:t>
            </w:r>
          </w:p>
        </w:tc>
        <w:tc>
          <w:tcPr>
            <w:tcW w:w="203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tcPr>
          <w:p>
            <w:pPr>
              <w:spacing w:after="0" w:line="212" w:lineRule="exact"/>
              <w:rPr>
                <w:sz w:val="20"/>
                <w:szCs w:val="20"/>
                <w:color w:val="auto"/>
              </w:rPr>
            </w:pPr>
            <w:r>
              <w:rPr>
                <w:rFonts w:ascii="Times New Roman" w:cs="Times New Roman" w:eastAsia="Times New Roman" w:hAnsi="Times New Roman"/>
                <w:sz w:val="19"/>
                <w:szCs w:val="19"/>
                <w:color w:val="010000"/>
              </w:rPr>
              <w:t xml:space="preserve">SECTION 9.11. </w:t>
            </w:r>
            <w:r>
              <w:rPr>
                <w:rFonts w:ascii="Times New Roman" w:cs="Times New Roman" w:eastAsia="Times New Roman" w:hAnsi="Times New Roman"/>
                <w:sz w:val="19"/>
                <w:szCs w:val="19"/>
                <w:color w:val="000000"/>
              </w:rPr>
              <w:t>Headings</w:t>
            </w:r>
          </w:p>
        </w:tc>
        <w:tc>
          <w:tcPr>
            <w:tcW w:w="2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FF0000"/>
                <w:strike w:val="1"/>
              </w:rPr>
              <w:t>97</w:t>
            </w:r>
          </w:p>
        </w:tc>
        <w:tc>
          <w:tcPr>
            <w:tcW w:w="16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0000FF"/>
                <w:w w:val="73"/>
              </w:rPr>
              <w:t>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FF0000"/>
                <w:strike w:val="1"/>
                <w:w w:val="94"/>
              </w:rPr>
              <w:t>97</w:t>
            </w:r>
          </w:p>
        </w:tc>
        <w:tc>
          <w:tcPr>
            <w:tcW w:w="36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9"/>
                <w:szCs w:val="19"/>
                <w:b w:val="1"/>
                <w:bCs w:val="1"/>
                <w:color w:val="0000FF"/>
                <w:w w:val="83"/>
              </w:rPr>
              <w:t>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3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60" w:type="dxa"/>
            <w:vAlign w:val="bottom"/>
            <w:gridSpan w:val="5"/>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9.12. </w:t>
            </w:r>
            <w:r>
              <w:rPr>
                <w:rFonts w:ascii="Times New Roman" w:cs="Times New Roman" w:eastAsia="Times New Roman" w:hAnsi="Times New Roman"/>
                <w:sz w:val="19"/>
                <w:szCs w:val="19"/>
                <w:color w:val="000000"/>
              </w:rPr>
              <w:t>Confidentiality</w:t>
            </w:r>
          </w:p>
        </w:tc>
        <w:tc>
          <w:tcPr>
            <w:tcW w:w="40" w:type="dxa"/>
            <w:vAlign w:val="bottom"/>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3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50" w:type="dxa"/>
            <w:vAlign w:val="bottom"/>
            <w:gridSpan w:val="3"/>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00" w:type="dxa"/>
            <w:vAlign w:val="bottom"/>
            <w:gridSpan w:val="9"/>
          </w:tcPr>
          <w:p>
            <w:pPr>
              <w:spacing w:after="0" w:line="212" w:lineRule="exact"/>
              <w:rPr>
                <w:sz w:val="20"/>
                <w:szCs w:val="20"/>
                <w:color w:val="auto"/>
              </w:rPr>
            </w:pPr>
            <w:r>
              <w:rPr>
                <w:rFonts w:ascii="Times New Roman" w:cs="Times New Roman" w:eastAsia="Times New Roman" w:hAnsi="Times New Roman"/>
                <w:sz w:val="19"/>
                <w:szCs w:val="19"/>
                <w:color w:val="010000"/>
                <w:w w:val="98"/>
              </w:rPr>
              <w:t xml:space="preserve">SECTION 9.13. </w:t>
            </w:r>
            <w:r>
              <w:rPr>
                <w:rFonts w:ascii="Times New Roman" w:cs="Times New Roman" w:eastAsia="Times New Roman" w:hAnsi="Times New Roman"/>
                <w:sz w:val="19"/>
                <w:szCs w:val="19"/>
                <w:color w:val="000000"/>
                <w:w w:val="98"/>
              </w:rPr>
              <w:t>USA PATRIOT Act</w:t>
            </w:r>
          </w:p>
        </w:tc>
        <w:tc>
          <w:tcPr>
            <w:tcW w:w="180" w:type="dxa"/>
            <w:vAlign w:val="bottom"/>
          </w:tcPr>
          <w:p>
            <w:pPr>
              <w:spacing w:after="0"/>
              <w:rPr>
                <w:sz w:val="18"/>
                <w:szCs w:val="18"/>
                <w:color w:val="auto"/>
              </w:rPr>
            </w:pPr>
          </w:p>
        </w:tc>
        <w:tc>
          <w:tcPr>
            <w:tcW w:w="1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b w:val="1"/>
                <w:bCs w:val="1"/>
                <w:color w:val="FF0000"/>
                <w:strike w:val="1"/>
                <w:w w:val="83"/>
              </w:rPr>
              <w:t>98</w:t>
            </w:r>
          </w:p>
        </w:tc>
        <w:tc>
          <w:tcPr>
            <w:tcW w:w="300" w:type="dxa"/>
            <w:vAlign w:val="bottom"/>
            <w:gridSpan w:val="4"/>
          </w:tcPr>
          <w:p>
            <w:pPr>
              <w:jc w:val="right"/>
              <w:ind w:right="26"/>
              <w:spacing w:after="0" w:line="212" w:lineRule="exact"/>
              <w:rPr>
                <w:sz w:val="20"/>
                <w:szCs w:val="20"/>
                <w:color w:val="auto"/>
              </w:rPr>
            </w:pPr>
            <w:r>
              <w:rPr>
                <w:rFonts w:ascii="Times New Roman" w:cs="Times New Roman" w:eastAsia="Times New Roman" w:hAnsi="Times New Roman"/>
                <w:sz w:val="19"/>
                <w:szCs w:val="19"/>
                <w:b w:val="1"/>
                <w:bCs w:val="1"/>
                <w:color w:val="0000FF"/>
                <w:w w:val="83"/>
              </w:rPr>
              <w:t>96</w:t>
            </w:r>
          </w:p>
        </w:tc>
        <w:tc>
          <w:tcPr>
            <w:tcW w:w="180" w:type="dxa"/>
            <w:vAlign w:val="bottom"/>
          </w:tcPr>
          <w:p>
            <w:pPr>
              <w:spacing w:after="0"/>
              <w:rPr>
                <w:sz w:val="18"/>
                <w:szCs w:val="18"/>
                <w:color w:val="auto"/>
              </w:rPr>
            </w:pPr>
          </w:p>
        </w:tc>
        <w:tc>
          <w:tcPr>
            <w:tcW w:w="2350" w:type="dxa"/>
            <w:vAlign w:val="bottom"/>
            <w:gridSpan w:val="3"/>
          </w:tcPr>
          <w:p>
            <w:pPr>
              <w:spacing w:after="0"/>
              <w:rPr>
                <w:sz w:val="18"/>
                <w:szCs w:val="18"/>
                <w:color w:val="auto"/>
              </w:rPr>
            </w:pPr>
          </w:p>
        </w:tc>
        <w:tc>
          <w:tcPr>
            <w:tcW w:w="19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3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60" w:type="dxa"/>
            <w:vAlign w:val="bottom"/>
            <w:gridSpan w:val="11"/>
          </w:tcPr>
          <w:p>
            <w:pPr>
              <w:spacing w:after="0" w:line="199" w:lineRule="exact"/>
              <w:rPr>
                <w:sz w:val="20"/>
                <w:szCs w:val="20"/>
                <w:color w:val="auto"/>
              </w:rPr>
            </w:pPr>
            <w:r>
              <w:rPr>
                <w:rFonts w:ascii="Times New Roman" w:cs="Times New Roman" w:eastAsia="Times New Roman" w:hAnsi="Times New Roman"/>
                <w:sz w:val="19"/>
                <w:szCs w:val="19"/>
                <w:color w:val="010000"/>
              </w:rPr>
              <w:t xml:space="preserve">SECTION 9.14. </w:t>
            </w:r>
            <w:r>
              <w:rPr>
                <w:rFonts w:ascii="Times New Roman" w:cs="Times New Roman" w:eastAsia="Times New Roman" w:hAnsi="Times New Roman"/>
                <w:sz w:val="19"/>
                <w:szCs w:val="19"/>
                <w:color w:val="000000"/>
              </w:rPr>
              <w:t>Interest Rate Limitation</w:t>
            </w:r>
          </w:p>
        </w:tc>
        <w:tc>
          <w:tcPr>
            <w:tcW w:w="100" w:type="dxa"/>
            <w:vAlign w:val="bottom"/>
          </w:tcPr>
          <w:p>
            <w:pPr>
              <w:spacing w:after="0"/>
              <w:rPr>
                <w:sz w:val="17"/>
                <w:szCs w:val="17"/>
                <w:color w:val="auto"/>
              </w:rPr>
            </w:pPr>
          </w:p>
        </w:tc>
        <w:tc>
          <w:tcPr>
            <w:tcW w:w="200" w:type="dxa"/>
            <w:vAlign w:val="bottom"/>
            <w:gridSpan w:val="3"/>
          </w:tcPr>
          <w:p>
            <w:pPr>
              <w:spacing w:after="0" w:line="199" w:lineRule="exact"/>
              <w:rPr>
                <w:sz w:val="20"/>
                <w:szCs w:val="20"/>
                <w:color w:val="auto"/>
              </w:rPr>
            </w:pPr>
            <w:r>
              <w:rPr>
                <w:rFonts w:ascii="Times New Roman" w:cs="Times New Roman" w:eastAsia="Times New Roman" w:hAnsi="Times New Roman"/>
                <w:sz w:val="19"/>
                <w:szCs w:val="19"/>
                <w:b w:val="1"/>
                <w:bCs w:val="1"/>
                <w:color w:val="FF0000"/>
                <w:strike w:val="1"/>
                <w:w w:val="94"/>
              </w:rPr>
              <w:t>98</w:t>
            </w:r>
          </w:p>
        </w:tc>
        <w:tc>
          <w:tcPr>
            <w:tcW w:w="320" w:type="dxa"/>
            <w:vAlign w:val="bottom"/>
            <w:gridSpan w:val="2"/>
          </w:tcPr>
          <w:p>
            <w:pPr>
              <w:jc w:val="right"/>
              <w:ind w:right="56"/>
              <w:spacing w:after="0" w:line="199" w:lineRule="exact"/>
              <w:rPr>
                <w:sz w:val="20"/>
                <w:szCs w:val="20"/>
                <w:color w:val="auto"/>
              </w:rPr>
            </w:pPr>
            <w:r>
              <w:rPr>
                <w:rFonts w:ascii="Times New Roman" w:cs="Times New Roman" w:eastAsia="Times New Roman" w:hAnsi="Times New Roman"/>
                <w:sz w:val="19"/>
                <w:szCs w:val="19"/>
                <w:b w:val="1"/>
                <w:bCs w:val="1"/>
                <w:color w:val="0000FF"/>
                <w:w w:val="83"/>
              </w:rPr>
              <w:t>96</w:t>
            </w:r>
          </w:p>
        </w:tc>
        <w:tc>
          <w:tcPr>
            <w:tcW w:w="180" w:type="dxa"/>
            <w:vAlign w:val="bottom"/>
          </w:tcPr>
          <w:p>
            <w:pPr>
              <w:spacing w:after="0"/>
              <w:rPr>
                <w:sz w:val="17"/>
                <w:szCs w:val="17"/>
                <w:color w:val="auto"/>
              </w:rPr>
            </w:pPr>
          </w:p>
        </w:tc>
        <w:tc>
          <w:tcPr>
            <w:tcW w:w="203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3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9"/>
          <w:szCs w:val="19"/>
          <w:color w:val="010000"/>
        </w:rPr>
        <w:t xml:space="preserve">SECTION 9.15. </w:t>
      </w:r>
      <w:r>
        <w:rPr>
          <w:rFonts w:ascii="Times New Roman" w:cs="Times New Roman" w:eastAsia="Times New Roman" w:hAnsi="Times New Roman"/>
          <w:sz w:val="19"/>
          <w:szCs w:val="19"/>
          <w:color w:val="000000"/>
        </w:rPr>
        <w:t>No Advisory or Fiduciary Responsibility</w:t>
      </w:r>
      <w:r>
        <w:rPr>
          <w:sz w:val="20"/>
          <w:szCs w:val="20"/>
          <w:color w:val="auto"/>
        </w:rPr>
        <w:tab/>
      </w:r>
      <w:r>
        <w:rPr>
          <w:rFonts w:ascii="Times New Roman" w:cs="Times New Roman" w:eastAsia="Times New Roman" w:hAnsi="Times New Roman"/>
          <w:sz w:val="18"/>
          <w:szCs w:val="18"/>
          <w:b w:val="1"/>
          <w:bCs w:val="1"/>
          <w:color w:val="FF0000"/>
          <w:strike w:val="1"/>
        </w:rPr>
        <w:t>98</w:t>
      </w:r>
      <w:r>
        <w:rPr>
          <w:rFonts w:ascii="Times New Roman" w:cs="Times New Roman" w:eastAsia="Times New Roman" w:hAnsi="Times New Roman"/>
          <w:sz w:val="18"/>
          <w:szCs w:val="18"/>
          <w:b w:val="1"/>
          <w:bCs w:val="1"/>
          <w:u w:val="single" w:color="auto"/>
          <w:color w:val="0000FF"/>
          <w:strike w:val="1"/>
        </w:rPr>
        <w:t>96</w:t>
      </w:r>
    </w:p>
    <w:p>
      <w:pPr>
        <w:spacing w:after="0" w:line="30"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9"/>
          <w:szCs w:val="19"/>
          <w:color w:val="010000"/>
        </w:rPr>
        <w:t xml:space="preserve">SECTION 9.16. </w:t>
      </w:r>
      <w:r>
        <w:rPr>
          <w:rFonts w:ascii="Times New Roman" w:cs="Times New Roman" w:eastAsia="Times New Roman" w:hAnsi="Times New Roman"/>
          <w:sz w:val="19"/>
          <w:szCs w:val="19"/>
          <w:color w:val="000000"/>
        </w:rPr>
        <w:t>Acknowledgement and Consent to Bail-In of Affected Financial Institutions</w:t>
      </w:r>
      <w:r>
        <w:rPr>
          <w:sz w:val="20"/>
          <w:szCs w:val="20"/>
          <w:color w:val="auto"/>
        </w:rPr>
        <w:tab/>
      </w:r>
      <w:r>
        <w:rPr>
          <w:rFonts w:ascii="Times New Roman" w:cs="Times New Roman" w:eastAsia="Times New Roman" w:hAnsi="Times New Roman"/>
          <w:sz w:val="18"/>
          <w:szCs w:val="18"/>
          <w:b w:val="1"/>
          <w:bCs w:val="1"/>
          <w:color w:val="FF0000"/>
          <w:strike w:val="1"/>
        </w:rPr>
        <w:t>99</w:t>
      </w:r>
      <w:r>
        <w:rPr>
          <w:rFonts w:ascii="Times New Roman" w:cs="Times New Roman" w:eastAsia="Times New Roman" w:hAnsi="Times New Roman"/>
          <w:sz w:val="18"/>
          <w:szCs w:val="18"/>
          <w:b w:val="1"/>
          <w:bCs w:val="1"/>
          <w:u w:val="single" w:color="auto"/>
          <w:color w:val="0000FF"/>
          <w:strike w:val="1"/>
        </w:rPr>
        <w:t>97</w:t>
      </w:r>
    </w:p>
    <w:p>
      <w:pPr>
        <w:spacing w:after="0" w:line="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9"/>
          <w:szCs w:val="19"/>
          <w:color w:val="010000"/>
        </w:rPr>
        <w:t xml:space="preserve">SECTION 9.17. </w:t>
      </w:r>
      <w:r>
        <w:rPr>
          <w:rFonts w:ascii="Times New Roman" w:cs="Times New Roman" w:eastAsia="Times New Roman" w:hAnsi="Times New Roman"/>
          <w:sz w:val="19"/>
          <w:szCs w:val="19"/>
          <w:color w:val="000000"/>
        </w:rPr>
        <w:t>Certain ERISA Matters</w:t>
      </w:r>
      <w:r>
        <w:rPr>
          <w:sz w:val="20"/>
          <w:szCs w:val="20"/>
          <w:color w:val="auto"/>
        </w:rPr>
        <w:tab/>
      </w:r>
      <w:r>
        <w:rPr>
          <w:rFonts w:ascii="Times New Roman" w:cs="Times New Roman" w:eastAsia="Times New Roman" w:hAnsi="Times New Roman"/>
          <w:sz w:val="18"/>
          <w:szCs w:val="18"/>
          <w:b w:val="1"/>
          <w:bCs w:val="1"/>
          <w:color w:val="FF0000"/>
          <w:strike w:val="1"/>
        </w:rPr>
        <w:t>99</w:t>
      </w:r>
      <w:r>
        <w:rPr>
          <w:rFonts w:ascii="Times New Roman" w:cs="Times New Roman" w:eastAsia="Times New Roman" w:hAnsi="Times New Roman"/>
          <w:sz w:val="18"/>
          <w:szCs w:val="18"/>
          <w:b w:val="1"/>
          <w:bCs w:val="1"/>
          <w:u w:val="single" w:color="auto"/>
          <w:color w:val="0000FF"/>
          <w:strike w:val="1"/>
        </w:rPr>
        <w:t>97</w:t>
      </w:r>
    </w:p>
    <w:p>
      <w:pPr>
        <w:spacing w:after="0" w:line="6"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9"/>
          <w:szCs w:val="19"/>
          <w:color w:val="010000"/>
        </w:rPr>
        <w:t xml:space="preserve">SECTION 9.18. </w:t>
      </w:r>
      <w:r>
        <w:rPr>
          <w:rFonts w:ascii="Times New Roman" w:cs="Times New Roman" w:eastAsia="Times New Roman" w:hAnsi="Times New Roman"/>
          <w:sz w:val="19"/>
          <w:szCs w:val="19"/>
          <w:color w:val="000000"/>
        </w:rPr>
        <w:t>Acknowledgement Regarding Any Supported QFCs</w:t>
      </w:r>
      <w:r>
        <w:rPr>
          <w:sz w:val="20"/>
          <w:szCs w:val="20"/>
          <w:color w:val="auto"/>
        </w:rPr>
        <w:tab/>
      </w:r>
      <w:r>
        <w:rPr>
          <w:rFonts w:ascii="Times New Roman" w:cs="Times New Roman" w:eastAsia="Times New Roman" w:hAnsi="Times New Roman"/>
          <w:sz w:val="19"/>
          <w:szCs w:val="19"/>
          <w:b w:val="1"/>
          <w:bCs w:val="1"/>
          <w:color w:val="FF0000"/>
          <w:strike w:val="1"/>
        </w:rPr>
        <w:t>100</w:t>
      </w:r>
      <w:r>
        <w:rPr>
          <w:rFonts w:ascii="Times New Roman" w:cs="Times New Roman" w:eastAsia="Times New Roman" w:hAnsi="Times New Roman"/>
          <w:sz w:val="19"/>
          <w:szCs w:val="19"/>
          <w:b w:val="1"/>
          <w:bCs w:val="1"/>
          <w:u w:val="single" w:color="auto"/>
          <w:color w:val="0000FF"/>
          <w:strike w:val="1"/>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40"/>
          </w:cols>
          <w:pgMar w:left="320" w:top="11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2.01 – Commitments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2.06 – Existing Letters of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3.01 – Organization; Powers;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3.03 – Governmental Approvals; No Conflicts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6.01 – Existing Indebtedness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6.02 – Existing Liens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EXHIBITS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 – Form of Assignment and Assumption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 – Form of Increasing Lender Supplement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C – Form of Augmenting Lender Supplement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D – List of Closing Documents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E – Form of Compliance Certificate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F-1 – Form of U.S. Tax Certificate (Foreign Lenders That Are Not Partnerships)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F-2 – Form of U.S. Tax Certificate (Foreign Participants That Are Not Partnerships)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F-3 – Form of U.S. Tax Certificate (Foreign Participants That Are Partnerships)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F-4 – Form of U.S. Tax Certificate (Foreign Lenders That Are Partnerships)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G-1 – Form of Borrowing Request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G-2 – Form of Interest Election Request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H – Form of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40"/>
          </w:cols>
          <w:pgMar w:left="320" w:top="118" w:right="339" w:bottom="1440" w:gutter="0" w:footer="0" w:header="0"/>
        </w:sectPr>
      </w:pPr>
    </w:p>
    <w:bookmarkStart w:id="124" w:name="page125"/>
    <w:bookmarkEnd w:id="124"/>
    <w:p>
      <w:pPr>
        <w:spacing w:after="0" w:line="136"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CREDIT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May 23, 2022 among TAKE-TWO INTERACTIVE SOFTWARE, INC., the LENDERS from time to time party hereto, and JPMORGAN CHASE BANK, N.A. (“</w:t>
      </w:r>
      <w:r>
        <w:rPr>
          <w:rFonts w:ascii="Times New Roman" w:cs="Times New Roman" w:eastAsia="Times New Roman" w:hAnsi="Times New Roman"/>
          <w:sz w:val="19"/>
          <w:szCs w:val="19"/>
          <w:u w:val="single" w:color="auto"/>
          <w:color w:val="auto"/>
        </w:rPr>
        <w:t>JPMCB</w:t>
      </w:r>
      <w:r>
        <w:rPr>
          <w:rFonts w:ascii="Times New Roman" w:cs="Times New Roman" w:eastAsia="Times New Roman" w:hAnsi="Times New Roman"/>
          <w:sz w:val="19"/>
          <w:szCs w:val="19"/>
          <w:color w:val="auto"/>
        </w:rPr>
        <w:t>”), as Administrative Agent.</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The parties hereto agree as follows:</w:t>
      </w:r>
    </w:p>
    <w:p>
      <w:pPr>
        <w:spacing w:after="0" w:line="200" w:lineRule="exact"/>
        <w:rPr>
          <w:sz w:val="20"/>
          <w:szCs w:val="20"/>
          <w:color w:val="auto"/>
        </w:rPr>
      </w:pPr>
    </w:p>
    <w:p>
      <w:pPr>
        <w:spacing w:after="0" w:line="3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010000"/>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91"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1.01.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94"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when used in reference to any Loan or Borrowing, refers to a Loan, or the Loans comprising such Borrowing, bearing interest at a rate determined by reference to the Alternate Base Rate.</w:t>
      </w:r>
    </w:p>
    <w:p>
      <w:pPr>
        <w:spacing w:after="0" w:line="168"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Acquired EBITDA</w:t>
      </w:r>
      <w:r>
        <w:rPr>
          <w:rFonts w:ascii="Times New Roman" w:cs="Times New Roman" w:eastAsia="Times New Roman" w:hAnsi="Times New Roman"/>
          <w:sz w:val="19"/>
          <w:szCs w:val="19"/>
          <w:color w:val="auto"/>
        </w:rPr>
        <w:t>” means with respect to any Acquired Entity or Business for any period, the amount for such period of Consolidated Adjusted EBITDA of such Acquired Entity or Business (determined as if references to the Borrower and the Subsidiaries in the definition of the term “Consolidated Adjusted EBITDA” (and in the component financial definitions used therein) were references to such Acquired Entity or Business and its subsidiaries that will become Subsidiaries), on a consolidated basis for such Acquired Entity or Business in accordance with GAAP as determined in good faith by the Borrower.</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Acquired Entity or Business</w:t>
      </w:r>
      <w:r>
        <w:rPr>
          <w:rFonts w:ascii="Times New Roman" w:cs="Times New Roman" w:eastAsia="Times New Roman" w:hAnsi="Times New Roman"/>
          <w:sz w:val="19"/>
          <w:szCs w:val="19"/>
          <w:color w:val="auto"/>
        </w:rPr>
        <w:t>” has the meaning assigned to such term in the definition of “Consolidated Adjusted EBITDA”.</w:t>
      </w:r>
    </w:p>
    <w:p>
      <w:pPr>
        <w:spacing w:after="0" w:line="207"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RFR</w:t>
      </w:r>
      <w:r>
        <w:rPr>
          <w:rFonts w:ascii="Times New Roman" w:cs="Times New Roman" w:eastAsia="Times New Roman" w:hAnsi="Times New Roman"/>
          <w:sz w:val="19"/>
          <w:szCs w:val="19"/>
          <w:color w:val="auto"/>
        </w:rPr>
        <w:t xml:space="preserve">” means, (i) with respect to any RFR Borrowing denominated in Sterling, an interest rate per annum equal to (a) the Daily Simple RFR for Sterling, </w:t>
      </w:r>
      <w:r>
        <w:rPr>
          <w:rFonts w:ascii="Times New Roman" w:cs="Times New Roman" w:eastAsia="Times New Roman" w:hAnsi="Times New Roman"/>
          <w:sz w:val="19"/>
          <w:szCs w:val="19"/>
          <w:b w:val="1"/>
          <w:bCs w:val="1"/>
          <w:i w:val="1"/>
          <w:iCs w:val="1"/>
          <w:color w:val="FF0000"/>
          <w:strike w:val="1"/>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(b) 0.0326%,</w:t>
      </w:r>
      <w:r>
        <w:rPr>
          <w:rFonts w:ascii="Times New Roman" w:cs="Times New Roman" w:eastAsia="Times New Roman" w:hAnsi="Times New Roman"/>
          <w:sz w:val="19"/>
          <w:szCs w:val="19"/>
          <w:color w:val="auto"/>
        </w:rPr>
        <w:t xml:space="preserve"> (ii) with respect to any RFR Borrowing denominated in Dollars, an interest rate per annum equal to </w:t>
      </w:r>
      <w:r>
        <w:rPr>
          <w:rFonts w:ascii="Times New Roman" w:cs="Times New Roman" w:eastAsia="Times New Roman" w:hAnsi="Times New Roman"/>
          <w:sz w:val="19"/>
          <w:szCs w:val="19"/>
          <w:b w:val="1"/>
          <w:bCs w:val="1"/>
          <w:color w:val="FF0000"/>
          <w:strike w:val="1"/>
        </w:rPr>
        <w:t>(a)</w:t>
      </w:r>
      <w:r>
        <w:rPr>
          <w:rFonts w:ascii="Times New Roman" w:cs="Times New Roman" w:eastAsia="Times New Roman" w:hAnsi="Times New Roman"/>
          <w:sz w:val="19"/>
          <w:szCs w:val="19"/>
          <w:color w:val="auto"/>
        </w:rPr>
        <w:t xml:space="preserve"> the Daily Simple RFR for Dollars</w:t>
      </w: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FF0000"/>
          <w:strike w:val="1"/>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(b) 0.10%</w:t>
      </w:r>
      <w:r>
        <w:rPr>
          <w:rFonts w:ascii="Times New Roman" w:cs="Times New Roman" w:eastAsia="Times New Roman" w:hAnsi="Times New Roman"/>
          <w:sz w:val="19"/>
          <w:szCs w:val="19"/>
          <w:color w:val="auto"/>
        </w:rPr>
        <w:t xml:space="preserve"> and (iii) with respect to any RFR Borrowing denominated in Canadian dollars, an interest rate per annum equal to (a) the Daily Simple RFR for Canadian </w:t>
      </w:r>
      <w:r>
        <w:rPr>
          <w:rFonts w:ascii="Times New Roman" w:cs="Times New Roman" w:eastAsia="Times New Roman" w:hAnsi="Times New Roman"/>
          <w:sz w:val="19"/>
          <w:szCs w:val="19"/>
          <w:b w:val="1"/>
          <w:bCs w:val="1"/>
          <w:color w:val="FF0000"/>
          <w:strike w:val="1"/>
        </w:rPr>
        <w:t>dollars</w:t>
      </w:r>
      <w:r>
        <w:rPr>
          <w:rFonts w:ascii="Times New Roman" w:cs="Times New Roman" w:eastAsia="Times New Roman" w:hAnsi="Times New Roman"/>
          <w:sz w:val="19"/>
          <w:szCs w:val="19"/>
          <w:b w:val="1"/>
          <w:bCs w:val="1"/>
          <w:u w:val="single" w:color="auto"/>
          <w:color w:val="0000FF"/>
        </w:rPr>
        <w:t>Dollars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0.29547%;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Daily Simple RFR Rate as so determined would be less than the Floor, such rate shall be deemed to be equal to the Floor for the purposes of this Agreement.</w:t>
      </w:r>
    </w:p>
    <w:p>
      <w:pPr>
        <w:spacing w:after="0" w:line="18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EURIBOR Rate</w:t>
      </w:r>
      <w:r>
        <w:rPr>
          <w:rFonts w:ascii="Times New Roman" w:cs="Times New Roman" w:eastAsia="Times New Roman" w:hAnsi="Times New Roman"/>
          <w:sz w:val="19"/>
          <w:szCs w:val="19"/>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19"/>
          <w:szCs w:val="19"/>
          <w:u w:val="single" w:color="auto"/>
          <w:color w:val="auto"/>
          <w:highlight w:val="lightGray"/>
        </w:rPr>
        <w:t>provided</w:t>
      </w:r>
      <w:r>
        <w:rPr>
          <w:rFonts w:ascii="Times New Roman" w:cs="Times New Roman" w:eastAsia="Times New Roman" w:hAnsi="Times New Roman"/>
          <w:sz w:val="19"/>
          <w:szCs w:val="19"/>
          <w:color w:val="auto"/>
        </w:rPr>
        <w:t xml:space="preserve"> that if the Adjusted EURIBOR Rate as so determined would be less than the Floor, such rate shall be deemed to be equal to the Floor for the purposes of this Agreement.</w:t>
      </w:r>
    </w:p>
    <w:p>
      <w:pPr>
        <w:spacing w:after="0" w:line="16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CORRA Rate</w:t>
      </w:r>
      <w:r>
        <w:rPr>
          <w:rFonts w:ascii="Times New Roman" w:cs="Times New Roman" w:eastAsia="Times New Roman" w:hAnsi="Times New Roman"/>
          <w:sz w:val="19"/>
          <w:szCs w:val="19"/>
          <w:color w:val="auto"/>
        </w:rPr>
        <w:t xml:space="preserve">” means, for purposes of any calculation, the rate per annum equal to (a) Term CORRA for such calculation plus (b) 0.29547% for a one month interest period or 0.32138% for a three month interest period; </w:t>
      </w:r>
      <w:r>
        <w:rPr>
          <w:rFonts w:ascii="Times New Roman" w:cs="Times New Roman" w:eastAsia="Times New Roman" w:hAnsi="Times New Roman"/>
          <w:sz w:val="19"/>
          <w:szCs w:val="19"/>
          <w:u w:val="single" w:color="auto"/>
          <w:color w:val="auto"/>
          <w:highlight w:val="lightGray"/>
        </w:rPr>
        <w:t>provided</w:t>
      </w:r>
      <w:r>
        <w:rPr>
          <w:rFonts w:ascii="Times New Roman" w:cs="Times New Roman" w:eastAsia="Times New Roman" w:hAnsi="Times New Roman"/>
          <w:sz w:val="19"/>
          <w:szCs w:val="19"/>
          <w:color w:val="auto"/>
        </w:rPr>
        <w:t xml:space="preserve"> that if Adjusted Term CORRA Rate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-305435</wp:posOffset>
            </wp:positionV>
            <wp:extent cx="220980" cy="1308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9">
                      <a:extLst>
                        <a:ext uri="{28A0092B-C50C-407E-A947-70E740481C1C}"/>
                      </a:extLst>
                    </a:blip>
                    <a:srcRect/>
                    <a:stretch>
                      <a:fillRect/>
                    </a:stretch>
                  </pic:blipFill>
                  <pic:spPr bwMode="auto">
                    <a:xfrm>
                      <a:off x="0" y="0"/>
                      <a:ext cx="22098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6"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 Rate</w:t>
      </w:r>
      <w:r>
        <w:rPr>
          <w:rFonts w:ascii="Times New Roman" w:cs="Times New Roman" w:eastAsia="Times New Roman" w:hAnsi="Times New Roman"/>
          <w:sz w:val="19"/>
          <w:szCs w:val="19"/>
          <w:color w:val="auto"/>
        </w:rPr>
        <w:t xml:space="preserve">” means, with respect to any Term Benchmark Borrowing denominated in Dollars for any Interest Period, an interest rate per annum equal to </w:t>
      </w:r>
      <w:r>
        <w:rPr>
          <w:rFonts w:ascii="Times New Roman" w:cs="Times New Roman" w:eastAsia="Times New Roman" w:hAnsi="Times New Roman"/>
          <w:sz w:val="19"/>
          <w:szCs w:val="19"/>
          <w:b w:val="1"/>
          <w:bCs w:val="1"/>
          <w:color w:val="FF0000"/>
          <w:strike w:val="1"/>
        </w:rPr>
        <w:t>(a)</w:t>
      </w:r>
      <w:r>
        <w:rPr>
          <w:rFonts w:ascii="Times New Roman" w:cs="Times New Roman" w:eastAsia="Times New Roman" w:hAnsi="Times New Roman"/>
          <w:sz w:val="19"/>
          <w:szCs w:val="19"/>
          <w:color w:val="auto"/>
        </w:rPr>
        <w:t xml:space="preserve"> the Term SOFR Rate for such Interest Period</w:t>
      </w: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FF0000"/>
          <w:strike w:val="1"/>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(b) 0.10%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Term SOFR Rate as so determined would be less than the Floor, such rate shall be deemed to be equal to the Floor for the purposes of this Agreement.</w:t>
      </w:r>
    </w:p>
    <w:p>
      <w:pPr>
        <w:spacing w:after="0" w:line="174"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JPMorgan Chase Bank, N.A. (including its branches and affiliates), in its capacity as administrative agent for the Lenders hereunder.</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07"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Agent-Related Person</w:t>
      </w:r>
      <w:r>
        <w:rPr>
          <w:rFonts w:ascii="Times New Roman" w:cs="Times New Roman" w:eastAsia="Times New Roman" w:hAnsi="Times New Roman"/>
          <w:sz w:val="19"/>
          <w:szCs w:val="19"/>
          <w:color w:val="auto"/>
        </w:rPr>
        <w:t>” has the meaning assigned to it in Section 9.03(b).</w:t>
      </w:r>
    </w:p>
    <w:p>
      <w:pPr>
        <w:spacing w:after="0" w:line="207"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Commitment</w:t>
      </w:r>
      <w:r>
        <w:rPr>
          <w:rFonts w:ascii="Times New Roman" w:cs="Times New Roman" w:eastAsia="Times New Roman" w:hAnsi="Times New Roman"/>
          <w:sz w:val="19"/>
          <w:szCs w:val="19"/>
          <w:color w:val="auto"/>
        </w:rPr>
        <w:t xml:space="preserve">” means the aggregate of the Commitments of all of the Lenders, as reduced or increased from time to time pursuant to the terms and conditions hereof. As of the </w:t>
      </w:r>
      <w:r>
        <w:rPr>
          <w:rFonts w:ascii="Times New Roman" w:cs="Times New Roman" w:eastAsia="Times New Roman" w:hAnsi="Times New Roman"/>
          <w:sz w:val="19"/>
          <w:szCs w:val="19"/>
          <w:b w:val="1"/>
          <w:bCs w:val="1"/>
          <w:u w:val="single" w:color="auto"/>
          <w:color w:val="0000FF"/>
        </w:rPr>
        <w:t>Amendment No. 3</w:t>
      </w:r>
      <w:r>
        <w:rPr>
          <w:rFonts w:ascii="Times New Roman" w:cs="Times New Roman" w:eastAsia="Times New Roman" w:hAnsi="Times New Roman"/>
          <w:sz w:val="19"/>
          <w:szCs w:val="19"/>
          <w:color w:val="auto"/>
        </w:rPr>
        <w:t xml:space="preserve"> Effective Date, the Aggregate Commitment is $</w:t>
      </w:r>
      <w:r>
        <w:rPr>
          <w:rFonts w:ascii="Times New Roman" w:cs="Times New Roman" w:eastAsia="Times New Roman" w:hAnsi="Times New Roman"/>
          <w:sz w:val="19"/>
          <w:szCs w:val="19"/>
          <w:b w:val="1"/>
          <w:bCs w:val="1"/>
          <w:color w:val="FF0000"/>
          <w:strike w:val="1"/>
        </w:rPr>
        <w:t>500,000,000</w:t>
      </w:r>
      <w:r>
        <w:rPr>
          <w:rFonts w:ascii="Times New Roman" w:cs="Times New Roman" w:eastAsia="Times New Roman" w:hAnsi="Times New Roman"/>
          <w:sz w:val="19"/>
          <w:szCs w:val="19"/>
          <w:b w:val="1"/>
          <w:bCs w:val="1"/>
          <w:u w:val="single" w:color="auto"/>
          <w:color w:val="0000FF"/>
        </w:rPr>
        <w:t>1,000,000,000</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Agreed Currencies</w:t>
      </w:r>
      <w:r>
        <w:rPr>
          <w:rFonts w:ascii="Times New Roman" w:cs="Times New Roman" w:eastAsia="Times New Roman" w:hAnsi="Times New Roman"/>
          <w:sz w:val="19"/>
          <w:szCs w:val="19"/>
          <w:color w:val="auto"/>
        </w:rPr>
        <w:t>” means (i) Dollars, (ii) Euro, (iii) Pounds Sterling, (iv) Canadian Dollars and (v) any additional currencies determined after the Effective Date by mutual agreement of the Borrower, the Lenders, the Issuing Banks and the Administrative Agent (each, an “</w:t>
      </w:r>
      <w:r>
        <w:rPr>
          <w:rFonts w:ascii="Times New Roman" w:cs="Times New Roman" w:eastAsia="Times New Roman" w:hAnsi="Times New Roman"/>
          <w:sz w:val="19"/>
          <w:szCs w:val="19"/>
          <w:u w:val="single" w:color="auto"/>
          <w:color w:val="auto"/>
        </w:rPr>
        <w:t>Agreed 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currency is a lawful currency that is readily available, freely transferable and not restricted and able to be converted into Dollars.</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specified in introductory paragraph hereof.</w:t>
      </w:r>
    </w:p>
    <w:p>
      <w:pPr>
        <w:spacing w:after="0" w:line="220"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2" w:lineRule="exact"/>
        <w:rPr>
          <w:sz w:val="20"/>
          <w:szCs w:val="20"/>
          <w:color w:val="auto"/>
        </w:rPr>
      </w:pPr>
    </w:p>
    <w:p>
      <w:pPr>
        <w:jc w:val="both"/>
        <w:ind w:right="20" w:firstLine="1238"/>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“Amendment No. 3” means Amendment No. 3, dated as of May 19, 2025, to this Agreement by and among, the Borrower, </w:t>
      </w:r>
      <w:r>
        <w:rPr>
          <w:rFonts w:ascii="Times New Roman" w:cs="Times New Roman" w:eastAsia="Times New Roman" w:hAnsi="Times New Roman"/>
          <w:sz w:val="19"/>
          <w:szCs w:val="19"/>
          <w:u w:val="single" w:color="auto"/>
          <w:color w:val="008000"/>
        </w:rPr>
        <w:t xml:space="preserve">the Administrative Agent and the Lenders and </w:t>
      </w:r>
      <w:r>
        <w:rPr>
          <w:rFonts w:ascii="Times New Roman" w:cs="Times New Roman" w:eastAsia="Times New Roman" w:hAnsi="Times New Roman"/>
          <w:sz w:val="19"/>
          <w:szCs w:val="19"/>
          <w:b w:val="1"/>
          <w:bCs w:val="1"/>
          <w:u w:val="single" w:color="auto"/>
          <w:color w:val="0000FF"/>
        </w:rPr>
        <w:t>Issuing Banks party thereto.</w:t>
      </w:r>
    </w:p>
    <w:p>
      <w:pPr>
        <w:spacing w:after="0" w:line="135" w:lineRule="exact"/>
        <w:rPr>
          <w:sz w:val="20"/>
          <w:szCs w:val="20"/>
          <w:color w:val="auto"/>
        </w:rPr>
      </w:pPr>
    </w:p>
    <w:p>
      <w:pPr>
        <w:jc w:val="both"/>
        <w:ind w:right="20" w:firstLine="1238"/>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0000FF"/>
        </w:rPr>
        <w:t>“Amendment No. 3 Arrangers” means JPMorgan Chase Bank, N.A. and Wells Fargo Securities, LLC, each in its capacity as joint lead arranger and joint bookrunner.</w:t>
      </w:r>
    </w:p>
    <w:p>
      <w:pPr>
        <w:spacing w:after="0" w:line="1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u w:val="single" w:color="auto"/>
          <w:color w:val="0000FF"/>
        </w:rPr>
        <w:t xml:space="preserve">“Amendment No. 3 Effective </w:t>
      </w:r>
      <w:r>
        <w:rPr>
          <w:rFonts w:ascii="Times New Roman" w:cs="Times New Roman" w:eastAsia="Times New Roman" w:hAnsi="Times New Roman"/>
          <w:sz w:val="19"/>
          <w:szCs w:val="19"/>
          <w:u w:val="single" w:color="auto"/>
          <w:color w:val="008000"/>
        </w:rPr>
        <w:t>Date” has the meaning assigned to such term in</w:t>
      </w:r>
      <w:r>
        <w:rPr>
          <w:rFonts w:ascii="Times New Roman" w:cs="Times New Roman" w:eastAsia="Times New Roman" w:hAnsi="Times New Roman"/>
          <w:sz w:val="19"/>
          <w:szCs w:val="19"/>
          <w:b w:val="1"/>
          <w:bCs w:val="1"/>
          <w:u w:val="single" w:color="auto"/>
          <w:color w:val="0000FF"/>
        </w:rPr>
        <w:t xml:space="preserve"> Amendment No. 3.</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has the meaning assigned to it in Section 9.06(b).</w:t>
      </w:r>
    </w:p>
    <w:p>
      <w:pPr>
        <w:spacing w:after="0" w:line="220" w:lineRule="exact"/>
        <w:rPr>
          <w:sz w:val="20"/>
          <w:szCs w:val="20"/>
          <w:color w:val="auto"/>
        </w:rPr>
      </w:pPr>
    </w:p>
    <w:p>
      <w:pPr>
        <w:jc w:val="both"/>
        <w:ind w:right="20"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all laws, rules, and regulations of any jurisdiction applicable to the Borrower or its Subsidiaries from time to time concerning or relating to bribery or corruption, including, as applicable, (i) the United States Foreign Corrupt Practices Act of 1977, as amended, and the rules and regulations thereunder and (ii) the U.K. Bribery Act 2010, as amended, and the rules and regulations thereunder.</w:t>
      </w:r>
    </w:p>
    <w:p>
      <w:pPr>
        <w:spacing w:after="0" w:line="166" w:lineRule="exact"/>
        <w:rPr>
          <w:sz w:val="20"/>
          <w:szCs w:val="20"/>
          <w:color w:val="auto"/>
        </w:rPr>
      </w:pPr>
    </w:p>
    <w:p>
      <w:pPr>
        <w:jc w:val="both"/>
        <w:ind w:right="20" w:firstLine="123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Aggregate Commitment represented by such Lender’s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Section 2.22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66" w:lineRule="exact"/>
        <w:rPr>
          <w:sz w:val="20"/>
          <w:szCs w:val="20"/>
          <w:color w:val="auto"/>
        </w:rPr>
      </w:pPr>
    </w:p>
    <w:p>
      <w:pPr>
        <w:jc w:val="both"/>
        <w:ind w:right="20"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Rate</w:t>
      </w:r>
      <w:r>
        <w:rPr>
          <w:rFonts w:ascii="Times New Roman" w:cs="Times New Roman" w:eastAsia="Times New Roman" w:hAnsi="Times New Roman"/>
          <w:sz w:val="19"/>
          <w:szCs w:val="19"/>
          <w:color w:val="auto"/>
        </w:rPr>
        <w:t>” means, for any day, with respect to any Term Benchmark Loan, RFR Loan or any ABR Loan or with respect to the commitment fees payable hereunder, as the case may be, the applicable rate per annum set forth below under the caption “Term Benchmark Spread”, “RFR Spread”, “ABR Spread” or “Commitment Fee Rate”, as the case may be, based upon the Credit Rating applicable on such date: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80" w:type="dxa"/>
            <w:vAlign w:val="bottom"/>
            <w:tcBorders>
              <w:top w:val="single" w:sz="8" w:color="auto"/>
              <w:left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Borders>
              <w:top w:val="single" w:sz="8" w:color="auto"/>
              <w:right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9"/>
                <w:szCs w:val="19"/>
                <w:color w:val="auto"/>
              </w:rPr>
              <w:t>Credit Ratings</w:t>
            </w:r>
          </w:p>
        </w:tc>
        <w:tc>
          <w:tcPr>
            <w:tcW w:w="1920" w:type="dxa"/>
            <w:vAlign w:val="bottom"/>
            <w:tcBorders>
              <w:top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9"/>
                <w:szCs w:val="19"/>
                <w:color w:val="auto"/>
                <w:w w:val="97"/>
              </w:rPr>
              <w:t>Term Benchmark</w:t>
            </w: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9"/>
                <w:szCs w:val="19"/>
                <w:color w:val="auto"/>
              </w:rPr>
              <w:t>RFR</w:t>
            </w:r>
          </w:p>
        </w:tc>
        <w:tc>
          <w:tcPr>
            <w:tcW w:w="60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9"/>
                <w:szCs w:val="19"/>
                <w:color w:val="auto"/>
              </w:rPr>
              <w:t>ABR</w:t>
            </w:r>
          </w:p>
        </w:tc>
        <w:tc>
          <w:tcPr>
            <w:tcW w:w="176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9"/>
                <w:szCs w:val="19"/>
                <w:color w:val="auto"/>
                <w:w w:val="99"/>
              </w:rPr>
              <w:t>Commitment Fee</w:t>
            </w:r>
          </w:p>
        </w:tc>
      </w:tr>
      <w:tr>
        <w:trPr>
          <w:trHeight w:val="173"/>
        </w:trPr>
        <w:tc>
          <w:tcPr>
            <w:tcW w:w="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gridSpan w:val="3"/>
          </w:tcPr>
          <w:p>
            <w:pPr>
              <w:spacing w:after="0" w:line="173" w:lineRule="exact"/>
              <w:rPr>
                <w:sz w:val="20"/>
                <w:szCs w:val="20"/>
                <w:color w:val="auto"/>
              </w:rPr>
            </w:pPr>
            <w:r>
              <w:rPr>
                <w:rFonts w:ascii="Times New Roman" w:cs="Times New Roman" w:eastAsia="Times New Roman" w:hAnsi="Times New Roman"/>
                <w:sz w:val="19"/>
                <w:szCs w:val="19"/>
                <w:color w:val="auto"/>
                <w:w w:val="84"/>
              </w:rPr>
              <w:t>(Moody’s/S&amp;P):</w:t>
            </w:r>
          </w:p>
        </w:tc>
        <w:tc>
          <w:tcPr>
            <w:tcW w:w="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Borders>
              <w:top w:val="single" w:sz="8" w:color="auto"/>
            </w:tcBorders>
            <w:gridSpan w:val="3"/>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Spread</w:t>
            </w:r>
          </w:p>
        </w:tc>
        <w:tc>
          <w:tcPr>
            <w:tcW w:w="32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71"/>
              </w:rPr>
              <w:t>Spread</w:t>
            </w: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9"/>
                <w:szCs w:val="19"/>
                <w:color w:val="auto"/>
                <w:w w:val="71"/>
              </w:rPr>
              <w:t>Spread</w:t>
            </w:r>
          </w:p>
        </w:tc>
        <w:tc>
          <w:tcPr>
            <w:tcW w:w="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ind w:right="480"/>
              <w:spacing w:after="0" w:line="173" w:lineRule="exact"/>
              <w:rPr>
                <w:sz w:val="20"/>
                <w:szCs w:val="20"/>
                <w:color w:val="auto"/>
              </w:rPr>
            </w:pPr>
            <w:r>
              <w:rPr>
                <w:rFonts w:ascii="Times New Roman" w:cs="Times New Roman" w:eastAsia="Times New Roman" w:hAnsi="Times New Roman"/>
                <w:sz w:val="19"/>
                <w:szCs w:val="19"/>
                <w:color w:val="auto"/>
              </w:rPr>
              <w:t>Rate</w:t>
            </w:r>
          </w:p>
        </w:tc>
        <w:tc>
          <w:tcPr>
            <w:tcW w:w="240" w:type="dxa"/>
            <w:vAlign w:val="bottom"/>
            <w:tcBorders>
              <w:right w:val="single" w:sz="8" w:color="auto"/>
            </w:tcBorders>
          </w:tcPr>
          <w:p>
            <w:pPr>
              <w:spacing w:after="0"/>
              <w:rPr>
                <w:sz w:val="15"/>
                <w:szCs w:val="15"/>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156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19"/>
                <w:szCs w:val="19"/>
                <w:color w:val="auto"/>
              </w:rPr>
              <w:t>Category 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right w:val="single" w:sz="8" w:color="auto"/>
            </w:tcBorders>
            <w:gridSpan w:val="4"/>
          </w:tcPr>
          <w:p>
            <w:pPr>
              <w:jc w:val="center"/>
              <w:ind w:right="820"/>
              <w:spacing w:after="0" w:line="198" w:lineRule="exact"/>
              <w:rPr>
                <w:sz w:val="20"/>
                <w:szCs w:val="20"/>
                <w:color w:val="auto"/>
              </w:rPr>
            </w:pPr>
            <w:r>
              <w:rPr>
                <w:rFonts w:ascii="Times New Roman" w:cs="Times New Roman" w:eastAsia="Times New Roman" w:hAnsi="Times New Roman"/>
                <w:sz w:val="19"/>
                <w:szCs w:val="19"/>
                <w:color w:val="auto"/>
                <w:w w:val="97"/>
              </w:rPr>
              <w:t>≥ A3/A-</w:t>
            </w:r>
          </w:p>
        </w:tc>
        <w:tc>
          <w:tcPr>
            <w:tcW w:w="1600" w:type="dxa"/>
            <w:vAlign w:val="bottom"/>
            <w:gridSpan w:val="4"/>
          </w:tcPr>
          <w:p>
            <w:pPr>
              <w:jc w:val="center"/>
              <w:ind w:left="206"/>
              <w:spacing w:after="0" w:line="198" w:lineRule="exact"/>
              <w:rPr>
                <w:sz w:val="20"/>
                <w:szCs w:val="20"/>
                <w:color w:val="auto"/>
              </w:rPr>
            </w:pPr>
            <w:r>
              <w:rPr>
                <w:rFonts w:ascii="Times New Roman" w:cs="Times New Roman" w:eastAsia="Times New Roman" w:hAnsi="Times New Roman"/>
                <w:sz w:val="19"/>
                <w:szCs w:val="19"/>
                <w:color w:val="auto"/>
                <w:w w:val="98"/>
              </w:rPr>
              <w:t>1.000%</w:t>
            </w:r>
          </w:p>
        </w:tc>
        <w:tc>
          <w:tcPr>
            <w:tcW w:w="3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gridSpan w:val="5"/>
          </w:tcPr>
          <w:p>
            <w:pPr>
              <w:jc w:val="center"/>
              <w:ind w:right="40"/>
              <w:spacing w:after="0" w:line="198" w:lineRule="exact"/>
              <w:rPr>
                <w:sz w:val="20"/>
                <w:szCs w:val="20"/>
                <w:color w:val="auto"/>
              </w:rPr>
            </w:pPr>
            <w:r>
              <w:rPr>
                <w:rFonts w:ascii="Times New Roman" w:cs="Times New Roman" w:eastAsia="Times New Roman" w:hAnsi="Times New Roman"/>
                <w:sz w:val="19"/>
                <w:szCs w:val="19"/>
                <w:color w:val="auto"/>
                <w:w w:val="98"/>
              </w:rPr>
              <w:t>1.000%</w:t>
            </w:r>
          </w:p>
        </w:tc>
        <w:tc>
          <w:tcPr>
            <w:tcW w:w="1120" w:type="dxa"/>
            <w:vAlign w:val="bottom"/>
            <w:gridSpan w:val="4"/>
          </w:tcPr>
          <w:p>
            <w:pPr>
              <w:jc w:val="center"/>
              <w:ind w:left="506"/>
              <w:spacing w:after="0" w:line="198" w:lineRule="exact"/>
              <w:rPr>
                <w:sz w:val="20"/>
                <w:szCs w:val="20"/>
                <w:color w:val="auto"/>
              </w:rPr>
            </w:pPr>
            <w:r>
              <w:rPr>
                <w:rFonts w:ascii="Times New Roman" w:cs="Times New Roman" w:eastAsia="Times New Roman" w:hAnsi="Times New Roman"/>
                <w:sz w:val="19"/>
                <w:szCs w:val="19"/>
                <w:color w:val="auto"/>
              </w:rPr>
              <w:t>0.0%</w:t>
            </w:r>
          </w:p>
        </w:tc>
        <w:tc>
          <w:tcPr>
            <w:tcW w:w="640" w:type="dxa"/>
            <w:vAlign w:val="bottom"/>
            <w:tcBorders>
              <w:right w:val="single" w:sz="8" w:color="auto"/>
            </w:tcBorders>
          </w:tcPr>
          <w:p>
            <w:pPr>
              <w:spacing w:after="0"/>
              <w:rPr>
                <w:sz w:val="17"/>
                <w:szCs w:val="17"/>
                <w:color w:val="auto"/>
              </w:rPr>
            </w:pPr>
          </w:p>
        </w:tc>
        <w:tc>
          <w:tcPr>
            <w:tcW w:w="1200" w:type="dxa"/>
            <w:vAlign w:val="bottom"/>
            <w:gridSpan w:val="5"/>
          </w:tcPr>
          <w:p>
            <w:pPr>
              <w:jc w:val="center"/>
              <w:ind w:left="446"/>
              <w:spacing w:after="0" w:line="198" w:lineRule="exact"/>
              <w:rPr>
                <w:sz w:val="20"/>
                <w:szCs w:val="20"/>
                <w:color w:val="auto"/>
              </w:rPr>
            </w:pPr>
            <w:r>
              <w:rPr>
                <w:rFonts w:ascii="Times New Roman" w:cs="Times New Roman" w:eastAsia="Times New Roman" w:hAnsi="Times New Roman"/>
                <w:sz w:val="19"/>
                <w:szCs w:val="19"/>
                <w:color w:val="auto"/>
                <w:w w:val="98"/>
              </w:rPr>
              <w:t>0.075%</w:t>
            </w:r>
          </w:p>
        </w:tc>
        <w:tc>
          <w:tcPr>
            <w:tcW w:w="3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r>
      <w:tr>
        <w:trPr>
          <w:trHeight w:val="199"/>
        </w:trPr>
        <w:tc>
          <w:tcPr>
            <w:tcW w:w="1560" w:type="dxa"/>
            <w:vAlign w:val="bottom"/>
            <w:tcBorders>
              <w:left w:val="single" w:sz="8" w:color="auto"/>
              <w:right w:val="single" w:sz="8" w:color="auto"/>
            </w:tcBorders>
            <w:gridSpan w:val="3"/>
          </w:tcPr>
          <w:p>
            <w:pPr>
              <w:ind w:left="80"/>
              <w:spacing w:after="0" w:line="199" w:lineRule="exact"/>
              <w:rPr>
                <w:sz w:val="20"/>
                <w:szCs w:val="20"/>
                <w:color w:val="auto"/>
              </w:rPr>
            </w:pPr>
            <w:r>
              <w:rPr>
                <w:rFonts w:ascii="Times New Roman" w:cs="Times New Roman" w:eastAsia="Times New Roman" w:hAnsi="Times New Roman"/>
                <w:sz w:val="19"/>
                <w:szCs w:val="19"/>
                <w:color w:val="auto"/>
              </w:rPr>
              <w:t>Category 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right w:val="single" w:sz="8" w:color="auto"/>
            </w:tcBorders>
            <w:gridSpan w:val="5"/>
          </w:tcPr>
          <w:p>
            <w:pPr>
              <w:jc w:val="center"/>
              <w:ind w:right="700"/>
              <w:spacing w:after="0" w:line="199" w:lineRule="exact"/>
              <w:rPr>
                <w:sz w:val="20"/>
                <w:szCs w:val="20"/>
                <w:color w:val="auto"/>
              </w:rPr>
            </w:pPr>
            <w:r>
              <w:rPr>
                <w:rFonts w:ascii="Times New Roman" w:cs="Times New Roman" w:eastAsia="Times New Roman" w:hAnsi="Times New Roman"/>
                <w:sz w:val="19"/>
                <w:szCs w:val="19"/>
                <w:color w:val="auto"/>
              </w:rPr>
              <w:t>Baa1/BBB+</w:t>
            </w:r>
          </w:p>
        </w:tc>
        <w:tc>
          <w:tcPr>
            <w:tcW w:w="1600" w:type="dxa"/>
            <w:vAlign w:val="bottom"/>
            <w:gridSpan w:val="4"/>
          </w:tcPr>
          <w:p>
            <w:pPr>
              <w:jc w:val="center"/>
              <w:ind w:left="206"/>
              <w:spacing w:after="0" w:line="199" w:lineRule="exact"/>
              <w:rPr>
                <w:sz w:val="20"/>
                <w:szCs w:val="20"/>
                <w:color w:val="auto"/>
              </w:rPr>
            </w:pPr>
            <w:r>
              <w:rPr>
                <w:rFonts w:ascii="Times New Roman" w:cs="Times New Roman" w:eastAsia="Times New Roman" w:hAnsi="Times New Roman"/>
                <w:sz w:val="19"/>
                <w:szCs w:val="19"/>
                <w:color w:val="auto"/>
                <w:w w:val="98"/>
              </w:rPr>
              <w:t>1.125%</w:t>
            </w:r>
          </w:p>
        </w:tc>
        <w:tc>
          <w:tcPr>
            <w:tcW w:w="3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gridSpan w:val="5"/>
          </w:tcPr>
          <w:p>
            <w:pPr>
              <w:jc w:val="center"/>
              <w:ind w:right="40"/>
              <w:spacing w:after="0" w:line="199" w:lineRule="exact"/>
              <w:rPr>
                <w:sz w:val="20"/>
                <w:szCs w:val="20"/>
                <w:color w:val="auto"/>
              </w:rPr>
            </w:pPr>
            <w:r>
              <w:rPr>
                <w:rFonts w:ascii="Times New Roman" w:cs="Times New Roman" w:eastAsia="Times New Roman" w:hAnsi="Times New Roman"/>
                <w:sz w:val="19"/>
                <w:szCs w:val="19"/>
                <w:color w:val="auto"/>
                <w:w w:val="98"/>
              </w:rPr>
              <w:t>1.125%</w:t>
            </w:r>
          </w:p>
        </w:tc>
        <w:tc>
          <w:tcPr>
            <w:tcW w:w="1760" w:type="dxa"/>
            <w:vAlign w:val="bottom"/>
            <w:tcBorders>
              <w:right w:val="single" w:sz="8" w:color="auto"/>
            </w:tcBorders>
            <w:gridSpan w:val="5"/>
          </w:tcPr>
          <w:p>
            <w:pPr>
              <w:jc w:val="center"/>
              <w:ind w:right="20"/>
              <w:spacing w:after="0" w:line="199" w:lineRule="exact"/>
              <w:rPr>
                <w:sz w:val="20"/>
                <w:szCs w:val="20"/>
                <w:color w:val="auto"/>
              </w:rPr>
            </w:pPr>
            <w:r>
              <w:rPr>
                <w:rFonts w:ascii="Times New Roman" w:cs="Times New Roman" w:eastAsia="Times New Roman" w:hAnsi="Times New Roman"/>
                <w:sz w:val="19"/>
                <w:szCs w:val="19"/>
                <w:color w:val="auto"/>
                <w:w w:val="98"/>
              </w:rPr>
              <w:t>0.125%</w:t>
            </w:r>
          </w:p>
        </w:tc>
        <w:tc>
          <w:tcPr>
            <w:tcW w:w="200" w:type="dxa"/>
            <w:vAlign w:val="bottom"/>
          </w:tcPr>
          <w:p>
            <w:pPr>
              <w:spacing w:after="0"/>
              <w:rPr>
                <w:sz w:val="17"/>
                <w:szCs w:val="17"/>
                <w:color w:val="auto"/>
              </w:rPr>
            </w:pPr>
          </w:p>
        </w:tc>
        <w:tc>
          <w:tcPr>
            <w:tcW w:w="58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rPr>
              <w:t>0.125</w:t>
            </w:r>
          </w:p>
        </w:tc>
        <w:tc>
          <w:tcPr>
            <w:tcW w:w="740" w:type="dxa"/>
            <w:vAlign w:val="bottom"/>
            <w:gridSpan w:val="3"/>
          </w:tcPr>
          <w:p>
            <w:pPr>
              <w:jc w:val="right"/>
              <w:ind w:right="160"/>
              <w:spacing w:after="0" w:line="199" w:lineRule="exact"/>
              <w:rPr>
                <w:sz w:val="20"/>
                <w:szCs w:val="20"/>
                <w:color w:val="auto"/>
              </w:rPr>
            </w:pPr>
            <w:r>
              <w:rPr>
                <w:rFonts w:ascii="Times New Roman" w:cs="Times New Roman" w:eastAsia="Times New Roman" w:hAnsi="Times New Roman"/>
                <w:sz w:val="19"/>
                <w:szCs w:val="19"/>
                <w:b w:val="1"/>
                <w:bCs w:val="1"/>
                <w:color w:val="0000FF"/>
                <w:w w:val="95"/>
              </w:rPr>
              <w:t>0.100</w:t>
            </w:r>
            <w:r>
              <w:rPr>
                <w:rFonts w:ascii="Times New Roman" w:cs="Times New Roman" w:eastAsia="Times New Roman" w:hAnsi="Times New Roman"/>
                <w:sz w:val="19"/>
                <w:szCs w:val="19"/>
                <w:color w:val="000000"/>
                <w:w w:val="95"/>
              </w:rPr>
              <w:t>%</w:t>
            </w:r>
          </w:p>
        </w:tc>
        <w:tc>
          <w:tcPr>
            <w:tcW w:w="240" w:type="dxa"/>
            <w:vAlign w:val="bottom"/>
            <w:tcBorders>
              <w:right w:val="single" w:sz="8" w:color="auto"/>
            </w:tcBorders>
          </w:tcPr>
          <w:p>
            <w:pPr>
              <w:spacing w:after="0"/>
              <w:rPr>
                <w:sz w:val="17"/>
                <w:szCs w:val="17"/>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r>
      <w:tr>
        <w:trPr>
          <w:trHeight w:val="199"/>
        </w:trPr>
        <w:tc>
          <w:tcPr>
            <w:tcW w:w="1560" w:type="dxa"/>
            <w:vAlign w:val="bottom"/>
            <w:tcBorders>
              <w:left w:val="single" w:sz="8" w:color="auto"/>
              <w:right w:val="single" w:sz="8" w:color="auto"/>
            </w:tcBorders>
            <w:gridSpan w:val="3"/>
          </w:tcPr>
          <w:p>
            <w:pPr>
              <w:ind w:left="80"/>
              <w:spacing w:after="0" w:line="199" w:lineRule="exact"/>
              <w:rPr>
                <w:sz w:val="20"/>
                <w:szCs w:val="20"/>
                <w:color w:val="auto"/>
              </w:rPr>
            </w:pPr>
            <w:r>
              <w:rPr>
                <w:rFonts w:ascii="Times New Roman" w:cs="Times New Roman" w:eastAsia="Times New Roman" w:hAnsi="Times New Roman"/>
                <w:sz w:val="19"/>
                <w:szCs w:val="19"/>
                <w:color w:val="auto"/>
              </w:rPr>
              <w:t>Category 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right w:val="single" w:sz="8" w:color="auto"/>
            </w:tcBorders>
            <w:gridSpan w:val="4"/>
          </w:tcPr>
          <w:p>
            <w:pPr>
              <w:jc w:val="center"/>
              <w:ind w:right="820"/>
              <w:spacing w:after="0" w:line="199" w:lineRule="exact"/>
              <w:rPr>
                <w:sz w:val="20"/>
                <w:szCs w:val="20"/>
                <w:color w:val="auto"/>
              </w:rPr>
            </w:pPr>
            <w:r>
              <w:rPr>
                <w:rFonts w:ascii="Times New Roman" w:cs="Times New Roman" w:eastAsia="Times New Roman" w:hAnsi="Times New Roman"/>
                <w:sz w:val="19"/>
                <w:szCs w:val="19"/>
                <w:color w:val="auto"/>
                <w:w w:val="99"/>
              </w:rPr>
              <w:t>Baa2/BBB</w:t>
            </w:r>
          </w:p>
        </w:tc>
        <w:tc>
          <w:tcPr>
            <w:tcW w:w="1600" w:type="dxa"/>
            <w:vAlign w:val="bottom"/>
            <w:gridSpan w:val="4"/>
          </w:tcPr>
          <w:p>
            <w:pPr>
              <w:jc w:val="center"/>
              <w:ind w:left="206"/>
              <w:spacing w:after="0" w:line="199" w:lineRule="exact"/>
              <w:rPr>
                <w:sz w:val="20"/>
                <w:szCs w:val="20"/>
                <w:color w:val="auto"/>
              </w:rPr>
            </w:pPr>
            <w:r>
              <w:rPr>
                <w:rFonts w:ascii="Times New Roman" w:cs="Times New Roman" w:eastAsia="Times New Roman" w:hAnsi="Times New Roman"/>
                <w:sz w:val="19"/>
                <w:szCs w:val="19"/>
                <w:color w:val="auto"/>
                <w:w w:val="98"/>
              </w:rPr>
              <w:t>1.250%</w:t>
            </w:r>
          </w:p>
        </w:tc>
        <w:tc>
          <w:tcPr>
            <w:tcW w:w="3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gridSpan w:val="5"/>
          </w:tcPr>
          <w:p>
            <w:pPr>
              <w:jc w:val="center"/>
              <w:ind w:right="40"/>
              <w:spacing w:after="0" w:line="199" w:lineRule="exact"/>
              <w:rPr>
                <w:sz w:val="20"/>
                <w:szCs w:val="20"/>
                <w:color w:val="auto"/>
              </w:rPr>
            </w:pPr>
            <w:r>
              <w:rPr>
                <w:rFonts w:ascii="Times New Roman" w:cs="Times New Roman" w:eastAsia="Times New Roman" w:hAnsi="Times New Roman"/>
                <w:sz w:val="19"/>
                <w:szCs w:val="19"/>
                <w:color w:val="auto"/>
                <w:w w:val="98"/>
              </w:rPr>
              <w:t>1.250%</w:t>
            </w:r>
          </w:p>
        </w:tc>
        <w:tc>
          <w:tcPr>
            <w:tcW w:w="1760" w:type="dxa"/>
            <w:vAlign w:val="bottom"/>
            <w:tcBorders>
              <w:right w:val="single" w:sz="8" w:color="auto"/>
            </w:tcBorders>
            <w:gridSpan w:val="5"/>
          </w:tcPr>
          <w:p>
            <w:pPr>
              <w:jc w:val="center"/>
              <w:ind w:right="20"/>
              <w:spacing w:after="0" w:line="199" w:lineRule="exact"/>
              <w:rPr>
                <w:sz w:val="20"/>
                <w:szCs w:val="20"/>
                <w:color w:val="auto"/>
              </w:rPr>
            </w:pPr>
            <w:r>
              <w:rPr>
                <w:rFonts w:ascii="Times New Roman" w:cs="Times New Roman" w:eastAsia="Times New Roman" w:hAnsi="Times New Roman"/>
                <w:sz w:val="19"/>
                <w:szCs w:val="19"/>
                <w:color w:val="auto"/>
                <w:w w:val="98"/>
              </w:rPr>
              <w:t>0.250%</w:t>
            </w:r>
          </w:p>
        </w:tc>
        <w:tc>
          <w:tcPr>
            <w:tcW w:w="200" w:type="dxa"/>
            <w:vAlign w:val="bottom"/>
          </w:tcPr>
          <w:p>
            <w:pPr>
              <w:spacing w:after="0"/>
              <w:rPr>
                <w:sz w:val="17"/>
                <w:szCs w:val="17"/>
                <w:color w:val="auto"/>
              </w:rPr>
            </w:pPr>
          </w:p>
        </w:tc>
        <w:tc>
          <w:tcPr>
            <w:tcW w:w="58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rPr>
              <w:t>0.175</w:t>
            </w:r>
          </w:p>
        </w:tc>
        <w:tc>
          <w:tcPr>
            <w:tcW w:w="740" w:type="dxa"/>
            <w:vAlign w:val="bottom"/>
            <w:gridSpan w:val="3"/>
          </w:tcPr>
          <w:p>
            <w:pPr>
              <w:jc w:val="right"/>
              <w:ind w:right="160"/>
              <w:spacing w:after="0" w:line="199" w:lineRule="exact"/>
              <w:rPr>
                <w:sz w:val="20"/>
                <w:szCs w:val="20"/>
                <w:color w:val="auto"/>
              </w:rPr>
            </w:pPr>
            <w:r>
              <w:rPr>
                <w:rFonts w:ascii="Times New Roman" w:cs="Times New Roman" w:eastAsia="Times New Roman" w:hAnsi="Times New Roman"/>
                <w:sz w:val="19"/>
                <w:szCs w:val="19"/>
                <w:b w:val="1"/>
                <w:bCs w:val="1"/>
                <w:color w:val="0000FF"/>
                <w:w w:val="95"/>
              </w:rPr>
              <w:t>0.125</w:t>
            </w:r>
            <w:r>
              <w:rPr>
                <w:rFonts w:ascii="Times New Roman" w:cs="Times New Roman" w:eastAsia="Times New Roman" w:hAnsi="Times New Roman"/>
                <w:sz w:val="19"/>
                <w:szCs w:val="19"/>
                <w:color w:val="000000"/>
                <w:w w:val="95"/>
              </w:rPr>
              <w:t>%</w:t>
            </w:r>
          </w:p>
        </w:tc>
        <w:tc>
          <w:tcPr>
            <w:tcW w:w="240" w:type="dxa"/>
            <w:vAlign w:val="bottom"/>
            <w:tcBorders>
              <w:right w:val="single" w:sz="8" w:color="auto"/>
            </w:tcBorders>
          </w:tcPr>
          <w:p>
            <w:pPr>
              <w:spacing w:after="0"/>
              <w:rPr>
                <w:sz w:val="17"/>
                <w:szCs w:val="17"/>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r>
      <w:tr>
        <w:trPr>
          <w:trHeight w:val="199"/>
        </w:trPr>
        <w:tc>
          <w:tcPr>
            <w:tcW w:w="1560" w:type="dxa"/>
            <w:vAlign w:val="bottom"/>
            <w:tcBorders>
              <w:left w:val="single" w:sz="8" w:color="auto"/>
              <w:right w:val="single" w:sz="8" w:color="auto"/>
            </w:tcBorders>
            <w:gridSpan w:val="3"/>
          </w:tcPr>
          <w:p>
            <w:pPr>
              <w:ind w:left="80"/>
              <w:spacing w:after="0" w:line="199" w:lineRule="exact"/>
              <w:rPr>
                <w:sz w:val="20"/>
                <w:szCs w:val="20"/>
                <w:color w:val="auto"/>
              </w:rPr>
            </w:pPr>
            <w:r>
              <w:rPr>
                <w:rFonts w:ascii="Times New Roman" w:cs="Times New Roman" w:eastAsia="Times New Roman" w:hAnsi="Times New Roman"/>
                <w:sz w:val="19"/>
                <w:szCs w:val="19"/>
                <w:color w:val="auto"/>
              </w:rPr>
              <w:t>Category 4:</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right w:val="single" w:sz="8" w:color="auto"/>
            </w:tcBorders>
            <w:gridSpan w:val="5"/>
          </w:tcPr>
          <w:p>
            <w:pPr>
              <w:jc w:val="center"/>
              <w:ind w:right="720"/>
              <w:spacing w:after="0" w:line="199" w:lineRule="exact"/>
              <w:rPr>
                <w:sz w:val="20"/>
                <w:szCs w:val="20"/>
                <w:color w:val="auto"/>
              </w:rPr>
            </w:pPr>
            <w:r>
              <w:rPr>
                <w:rFonts w:ascii="Times New Roman" w:cs="Times New Roman" w:eastAsia="Times New Roman" w:hAnsi="Times New Roman"/>
                <w:sz w:val="19"/>
                <w:szCs w:val="19"/>
                <w:color w:val="auto"/>
                <w:w w:val="99"/>
              </w:rPr>
              <w:t>Baa3/BBB-</w:t>
            </w:r>
          </w:p>
        </w:tc>
        <w:tc>
          <w:tcPr>
            <w:tcW w:w="1600" w:type="dxa"/>
            <w:vAlign w:val="bottom"/>
            <w:gridSpan w:val="4"/>
          </w:tcPr>
          <w:p>
            <w:pPr>
              <w:jc w:val="center"/>
              <w:ind w:left="206"/>
              <w:spacing w:after="0" w:line="199" w:lineRule="exact"/>
              <w:rPr>
                <w:sz w:val="20"/>
                <w:szCs w:val="20"/>
                <w:color w:val="auto"/>
              </w:rPr>
            </w:pPr>
            <w:r>
              <w:rPr>
                <w:rFonts w:ascii="Times New Roman" w:cs="Times New Roman" w:eastAsia="Times New Roman" w:hAnsi="Times New Roman"/>
                <w:sz w:val="19"/>
                <w:szCs w:val="19"/>
                <w:color w:val="auto"/>
                <w:w w:val="98"/>
              </w:rPr>
              <w:t>1.375%</w:t>
            </w:r>
          </w:p>
        </w:tc>
        <w:tc>
          <w:tcPr>
            <w:tcW w:w="3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gridSpan w:val="5"/>
          </w:tcPr>
          <w:p>
            <w:pPr>
              <w:jc w:val="center"/>
              <w:ind w:right="40"/>
              <w:spacing w:after="0" w:line="199" w:lineRule="exact"/>
              <w:rPr>
                <w:sz w:val="20"/>
                <w:szCs w:val="20"/>
                <w:color w:val="auto"/>
              </w:rPr>
            </w:pPr>
            <w:r>
              <w:rPr>
                <w:rFonts w:ascii="Times New Roman" w:cs="Times New Roman" w:eastAsia="Times New Roman" w:hAnsi="Times New Roman"/>
                <w:sz w:val="19"/>
                <w:szCs w:val="19"/>
                <w:color w:val="auto"/>
                <w:w w:val="98"/>
              </w:rPr>
              <w:t>1.375%</w:t>
            </w:r>
          </w:p>
        </w:tc>
        <w:tc>
          <w:tcPr>
            <w:tcW w:w="1760" w:type="dxa"/>
            <w:vAlign w:val="bottom"/>
            <w:tcBorders>
              <w:right w:val="single" w:sz="8" w:color="auto"/>
            </w:tcBorders>
            <w:gridSpan w:val="5"/>
          </w:tcPr>
          <w:p>
            <w:pPr>
              <w:jc w:val="center"/>
              <w:ind w:right="20"/>
              <w:spacing w:after="0" w:line="199" w:lineRule="exact"/>
              <w:rPr>
                <w:sz w:val="20"/>
                <w:szCs w:val="20"/>
                <w:color w:val="auto"/>
              </w:rPr>
            </w:pPr>
            <w:r>
              <w:rPr>
                <w:rFonts w:ascii="Times New Roman" w:cs="Times New Roman" w:eastAsia="Times New Roman" w:hAnsi="Times New Roman"/>
                <w:sz w:val="19"/>
                <w:szCs w:val="19"/>
                <w:color w:val="auto"/>
                <w:w w:val="98"/>
              </w:rPr>
              <w:t>0.375%</w:t>
            </w:r>
          </w:p>
        </w:tc>
        <w:tc>
          <w:tcPr>
            <w:tcW w:w="200" w:type="dxa"/>
            <w:vAlign w:val="bottom"/>
          </w:tcPr>
          <w:p>
            <w:pPr>
              <w:spacing w:after="0"/>
              <w:rPr>
                <w:sz w:val="17"/>
                <w:szCs w:val="17"/>
                <w:color w:val="auto"/>
              </w:rPr>
            </w:pPr>
          </w:p>
        </w:tc>
        <w:tc>
          <w:tcPr>
            <w:tcW w:w="58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9"/>
                <w:szCs w:val="19"/>
                <w:b w:val="1"/>
                <w:bCs w:val="1"/>
                <w:color w:val="FF0000"/>
                <w:strike w:val="1"/>
              </w:rPr>
              <w:t>0.225</w:t>
            </w:r>
          </w:p>
        </w:tc>
        <w:tc>
          <w:tcPr>
            <w:tcW w:w="740" w:type="dxa"/>
            <w:vAlign w:val="bottom"/>
            <w:gridSpan w:val="3"/>
          </w:tcPr>
          <w:p>
            <w:pPr>
              <w:jc w:val="right"/>
              <w:ind w:right="160"/>
              <w:spacing w:after="0" w:line="199" w:lineRule="exact"/>
              <w:rPr>
                <w:sz w:val="20"/>
                <w:szCs w:val="20"/>
                <w:color w:val="auto"/>
              </w:rPr>
            </w:pPr>
            <w:r>
              <w:rPr>
                <w:rFonts w:ascii="Times New Roman" w:cs="Times New Roman" w:eastAsia="Times New Roman" w:hAnsi="Times New Roman"/>
                <w:sz w:val="19"/>
                <w:szCs w:val="19"/>
                <w:b w:val="1"/>
                <w:bCs w:val="1"/>
                <w:color w:val="0000FF"/>
                <w:w w:val="95"/>
              </w:rPr>
              <w:t>0.175</w:t>
            </w:r>
            <w:r>
              <w:rPr>
                <w:rFonts w:ascii="Times New Roman" w:cs="Times New Roman" w:eastAsia="Times New Roman" w:hAnsi="Times New Roman"/>
                <w:sz w:val="19"/>
                <w:szCs w:val="19"/>
                <w:color w:val="000000"/>
                <w:w w:val="95"/>
              </w:rPr>
              <w:t>%</w:t>
            </w:r>
          </w:p>
        </w:tc>
        <w:tc>
          <w:tcPr>
            <w:tcW w:w="240" w:type="dxa"/>
            <w:vAlign w:val="bottom"/>
            <w:tcBorders>
              <w:right w:val="single" w:sz="8" w:color="auto"/>
            </w:tcBorders>
          </w:tcPr>
          <w:p>
            <w:pPr>
              <w:spacing w:after="0"/>
              <w:rPr>
                <w:sz w:val="17"/>
                <w:szCs w:val="17"/>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r>
      <w:tr>
        <w:trPr>
          <w:trHeight w:val="192"/>
        </w:trPr>
        <w:tc>
          <w:tcPr>
            <w:tcW w:w="1560" w:type="dxa"/>
            <w:vAlign w:val="bottom"/>
            <w:tcBorders>
              <w:left w:val="single" w:sz="8" w:color="auto"/>
              <w:right w:val="single" w:sz="8" w:color="auto"/>
            </w:tcBorders>
            <w:gridSpan w:val="3"/>
          </w:tcPr>
          <w:p>
            <w:pPr>
              <w:ind w:left="80"/>
              <w:spacing w:after="0" w:line="173" w:lineRule="exact"/>
              <w:rPr>
                <w:sz w:val="20"/>
                <w:szCs w:val="20"/>
                <w:color w:val="auto"/>
              </w:rPr>
            </w:pPr>
            <w:r>
              <w:rPr>
                <w:rFonts w:ascii="Times New Roman" w:cs="Times New Roman" w:eastAsia="Times New Roman" w:hAnsi="Times New Roman"/>
                <w:sz w:val="19"/>
                <w:szCs w:val="19"/>
                <w:color w:val="auto"/>
              </w:rPr>
              <w:t>Category 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right w:val="single" w:sz="8" w:color="auto"/>
            </w:tcBorders>
            <w:gridSpan w:val="5"/>
          </w:tcPr>
          <w:p>
            <w:pPr>
              <w:jc w:val="center"/>
              <w:ind w:right="700"/>
              <w:spacing w:after="0" w:line="173" w:lineRule="exact"/>
              <w:rPr>
                <w:sz w:val="20"/>
                <w:szCs w:val="20"/>
                <w:color w:val="auto"/>
              </w:rPr>
            </w:pPr>
            <w:r>
              <w:rPr>
                <w:rFonts w:ascii="Times New Roman" w:cs="Times New Roman" w:eastAsia="Times New Roman" w:hAnsi="Times New Roman"/>
                <w:sz w:val="19"/>
                <w:szCs w:val="19"/>
                <w:color w:val="auto"/>
                <w:w w:val="98"/>
              </w:rPr>
              <w:t>&lt; Ba1/BB+</w:t>
            </w:r>
          </w:p>
        </w:tc>
        <w:tc>
          <w:tcPr>
            <w:tcW w:w="1600" w:type="dxa"/>
            <w:vAlign w:val="bottom"/>
            <w:gridSpan w:val="4"/>
          </w:tcPr>
          <w:p>
            <w:pPr>
              <w:jc w:val="center"/>
              <w:ind w:left="206"/>
              <w:spacing w:after="0" w:line="173" w:lineRule="exact"/>
              <w:rPr>
                <w:sz w:val="20"/>
                <w:szCs w:val="20"/>
                <w:color w:val="auto"/>
              </w:rPr>
            </w:pPr>
            <w:r>
              <w:rPr>
                <w:rFonts w:ascii="Times New Roman" w:cs="Times New Roman" w:eastAsia="Times New Roman" w:hAnsi="Times New Roman"/>
                <w:sz w:val="19"/>
                <w:szCs w:val="19"/>
                <w:color w:val="auto"/>
                <w:w w:val="98"/>
              </w:rPr>
              <w:t>1.625%</w:t>
            </w:r>
          </w:p>
        </w:tc>
        <w:tc>
          <w:tcPr>
            <w:tcW w:w="3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gridSpan w:val="5"/>
          </w:tcPr>
          <w:p>
            <w:pPr>
              <w:jc w:val="center"/>
              <w:ind w:right="40"/>
              <w:spacing w:after="0" w:line="173" w:lineRule="exact"/>
              <w:rPr>
                <w:sz w:val="20"/>
                <w:szCs w:val="20"/>
                <w:color w:val="auto"/>
              </w:rPr>
            </w:pPr>
            <w:r>
              <w:rPr>
                <w:rFonts w:ascii="Times New Roman" w:cs="Times New Roman" w:eastAsia="Times New Roman" w:hAnsi="Times New Roman"/>
                <w:sz w:val="19"/>
                <w:szCs w:val="19"/>
                <w:color w:val="auto"/>
                <w:w w:val="98"/>
              </w:rPr>
              <w:t>1.625%</w:t>
            </w:r>
          </w:p>
        </w:tc>
        <w:tc>
          <w:tcPr>
            <w:tcW w:w="1760" w:type="dxa"/>
            <w:vAlign w:val="bottom"/>
            <w:tcBorders>
              <w:right w:val="single" w:sz="8" w:color="auto"/>
            </w:tcBorders>
            <w:gridSpan w:val="5"/>
          </w:tcPr>
          <w:p>
            <w:pPr>
              <w:jc w:val="center"/>
              <w:ind w:right="20"/>
              <w:spacing w:after="0" w:line="173" w:lineRule="exact"/>
              <w:rPr>
                <w:sz w:val="20"/>
                <w:szCs w:val="20"/>
                <w:color w:val="auto"/>
              </w:rPr>
            </w:pPr>
            <w:r>
              <w:rPr>
                <w:rFonts w:ascii="Times New Roman" w:cs="Times New Roman" w:eastAsia="Times New Roman" w:hAnsi="Times New Roman"/>
                <w:sz w:val="19"/>
                <w:szCs w:val="19"/>
                <w:color w:val="auto"/>
                <w:w w:val="98"/>
              </w:rPr>
              <w:t>0.625%</w:t>
            </w:r>
          </w:p>
        </w:tc>
        <w:tc>
          <w:tcPr>
            <w:tcW w:w="200" w:type="dxa"/>
            <w:vAlign w:val="bottom"/>
          </w:tcPr>
          <w:p>
            <w:pPr>
              <w:spacing w:after="0"/>
              <w:rPr>
                <w:sz w:val="16"/>
                <w:szCs w:val="16"/>
                <w:color w:val="auto"/>
              </w:rPr>
            </w:pPr>
          </w:p>
        </w:tc>
        <w:tc>
          <w:tcPr>
            <w:tcW w:w="58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9"/>
                <w:szCs w:val="19"/>
                <w:b w:val="1"/>
                <w:bCs w:val="1"/>
                <w:color w:val="FF0000"/>
                <w:strike w:val="1"/>
              </w:rPr>
              <w:t>0.275</w:t>
            </w:r>
          </w:p>
        </w:tc>
        <w:tc>
          <w:tcPr>
            <w:tcW w:w="740" w:type="dxa"/>
            <w:vAlign w:val="bottom"/>
            <w:gridSpan w:val="3"/>
          </w:tcPr>
          <w:p>
            <w:pPr>
              <w:jc w:val="right"/>
              <w:ind w:right="160"/>
              <w:spacing w:after="0" w:line="173" w:lineRule="exact"/>
              <w:rPr>
                <w:sz w:val="20"/>
                <w:szCs w:val="20"/>
                <w:color w:val="auto"/>
              </w:rPr>
            </w:pPr>
            <w:r>
              <w:rPr>
                <w:rFonts w:ascii="Times New Roman" w:cs="Times New Roman" w:eastAsia="Times New Roman" w:hAnsi="Times New Roman"/>
                <w:sz w:val="19"/>
                <w:szCs w:val="19"/>
                <w:b w:val="1"/>
                <w:bCs w:val="1"/>
                <w:color w:val="0000FF"/>
                <w:w w:val="95"/>
              </w:rPr>
              <w:t>0.250</w:t>
            </w:r>
            <w:r>
              <w:rPr>
                <w:rFonts w:ascii="Times New Roman" w:cs="Times New Roman" w:eastAsia="Times New Roman" w:hAnsi="Times New Roman"/>
                <w:sz w:val="19"/>
                <w:szCs w:val="19"/>
                <w:color w:val="000000"/>
                <w:w w:val="95"/>
              </w:rPr>
              <w:t>%</w:t>
            </w:r>
          </w:p>
        </w:tc>
        <w:tc>
          <w:tcPr>
            <w:tcW w:w="240" w:type="dxa"/>
            <w:vAlign w:val="bottom"/>
            <w:tcBorders>
              <w:right w:val="single" w:sz="8" w:color="auto"/>
            </w:tcBorders>
          </w:tcPr>
          <w:p>
            <w:pPr>
              <w:spacing w:after="0"/>
              <w:rPr>
                <w:sz w:val="16"/>
                <w:szCs w:val="16"/>
                <w:color w:val="auto"/>
              </w:rPr>
            </w:pPr>
          </w:p>
        </w:tc>
      </w:tr>
      <w:tr>
        <w:trPr>
          <w:trHeight w:val="251"/>
        </w:trPr>
        <w:tc>
          <w:tcPr>
            <w:tcW w:w="80" w:type="dxa"/>
            <w:vAlign w:val="bottom"/>
            <w:tcBorders>
              <w:left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top w:val="single" w:sz="8" w:color="0000FF"/>
              <w:bottom w:val="single" w:sz="8" w:color="auto"/>
            </w:tcBorders>
          </w:tcPr>
          <w:p>
            <w:pPr>
              <w:spacing w:after="0"/>
              <w:rPr>
                <w:sz w:val="21"/>
                <w:szCs w:val="21"/>
                <w:color w:val="auto"/>
              </w:rPr>
            </w:pPr>
          </w:p>
        </w:tc>
        <w:tc>
          <w:tcPr>
            <w:tcW w:w="160" w:type="dxa"/>
            <w:vAlign w:val="bottom"/>
            <w:tcBorders>
              <w:top w:val="single" w:sz="8" w:color="0000FF"/>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vii</w:t>
      </w:r>
    </w:p>
    <w:p>
      <w:pPr>
        <w:sectPr>
          <w:pgSz w:w="11900" w:h="16838" w:orient="portrait"/>
          <w:cols w:equalWidth="0" w:num="1">
            <w:col w:w="11260"/>
          </w:cols>
          <w:pgMar w:left="320" w:top="1440" w:right="319" w:bottom="1440" w:gutter="0" w:footer="0" w:header="0"/>
        </w:sectPr>
      </w:pPr>
    </w:p>
    <w:bookmarkStart w:id="127" w:name="page128"/>
    <w:bookmarkEnd w:id="127"/>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For purposes of the foregoing, (x) if the Credit Rating established or deemed to have been established by Moody’s and S&amp;P shall fall within different Categories, the Commitment Fee Rate, Term Benchmark Spread, RFR Spread and ABR Spread shall each be based on the Category in which the higher rating falls;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there is a split in Credit Rating of more than one Category, the Category that is one level lower than the Category of the higher Credit Rating shall apply, (y) if the Borrower does not have any Credit Rating, Category 5 shall apply and (z) if the Credit Rating established or deemed to have been established by Moody’s or S&amp;P shall be changed (other than as a result of a change in the rating system of Moody’s or S&amp;P), such change shall be effective on the </w:t>
      </w:r>
      <w:r>
        <w:rPr>
          <w:rFonts w:ascii="Times New Roman" w:cs="Times New Roman" w:eastAsia="Times New Roman" w:hAnsi="Times New Roman"/>
          <w:sz w:val="19"/>
          <w:szCs w:val="19"/>
          <w:b w:val="1"/>
          <w:bCs w:val="1"/>
          <w:u w:val="single" w:color="auto"/>
          <w:color w:val="0000FF"/>
        </w:rPr>
        <w:t>third business day following the</w:t>
      </w:r>
      <w:r>
        <w:rPr>
          <w:rFonts w:ascii="Times New Roman" w:cs="Times New Roman" w:eastAsia="Times New Roman" w:hAnsi="Times New Roman"/>
          <w:sz w:val="19"/>
          <w:szCs w:val="19"/>
          <w:color w:val="auto"/>
        </w:rPr>
        <w:t xml:space="preserve"> earlier of the date on which such change is publicly announced and the date on which the Borrower or any of its Subsidiaries receives written notice of such change. Each change in the Commitment Fee Rate, Term Benchmark Spread, RFR Spread and ABR Spread shall apply during the period commencing on the effective date of such change and ending on the date immediately preceding the effective date of the next such change.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If the rating system of Moody’s or S&amp;P shall change, or if either rating agency shall cease to be in the business of providing issuer or long-term debt ratings, as the case may be, the Borrower and the Administrative Agent shall negotiate in good faith to amend this definition of “Applicable Rate” to reflect such changed rating system or the unavailability of ratings from such rating agency and, pending the effectiveness of any such amendment, the Commitment Fee Rate, Term Benchmark Spread, RFR Spread and ABR Spread shall each be based on the ratings most recently in effect prior to such changes or cessations.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Initially, as of the Effective Date, the Applicable Rate shall be based upon the Credit Ratings applicable to Category 3.</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Electronic Platform</w:t>
      </w:r>
      <w:r>
        <w:rPr>
          <w:rFonts w:ascii="Times New Roman" w:cs="Times New Roman" w:eastAsia="Times New Roman" w:hAnsi="Times New Roman"/>
          <w:sz w:val="19"/>
          <w:szCs w:val="19"/>
          <w:color w:val="auto"/>
        </w:rPr>
        <w:t>” has the meaning assigned to it in Section 9.01(d).</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has the meaning assigned to such term in Section 9.04.</w:t>
      </w:r>
    </w:p>
    <w:p>
      <w:pPr>
        <w:spacing w:after="0" w:line="207"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w:t>
      </w:r>
      <w:r>
        <w:rPr>
          <w:rFonts w:ascii="Times New Roman" w:cs="Times New Roman" w:eastAsia="Times New Roman" w:hAnsi="Times New Roman"/>
          <w:sz w:val="19"/>
          <w:szCs w:val="19"/>
          <w:color w:val="auto"/>
        </w:rPr>
        <w:t xml:space="preserve">” means each of JPMorgan Chase Bank, N.A., Wells Fargo Securities, LLC, BofA Securities, Inc. and BNP Paribas, in each case in its capacity as joint lead arranger and joint bookrunner hereunder </w:t>
      </w:r>
      <w:r>
        <w:rPr>
          <w:rFonts w:ascii="Times New Roman" w:cs="Times New Roman" w:eastAsia="Times New Roman" w:hAnsi="Times New Roman"/>
          <w:sz w:val="19"/>
          <w:szCs w:val="19"/>
          <w:b w:val="1"/>
          <w:bCs w:val="1"/>
          <w:color w:val="0000FF"/>
        </w:rPr>
        <w:t>and the Amendment No. 3 Arrangers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-51435</wp:posOffset>
            </wp:positionV>
            <wp:extent cx="193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0">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13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any other form (including electronic records generated by the use of an electronic platform) approved by the Administrative Agent.</w:t>
      </w:r>
    </w:p>
    <w:p>
      <w:pPr>
        <w:spacing w:after="0" w:line="161"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Debt</w:t>
      </w:r>
      <w:r>
        <w:rPr>
          <w:rFonts w:ascii="Times New Roman" w:cs="Times New Roman" w:eastAsia="Times New Roman" w:hAnsi="Times New Roman"/>
          <w:sz w:val="19"/>
          <w:szCs w:val="19"/>
          <w:color w:val="auto"/>
        </w:rPr>
        <w:t>” means, with respect to any Sale and Leaseback Transaction, the present value (discounted at the rate set forth or implicit in the terms of the lease included in such Sale and 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 and Leaseback Transaction (including any period for which such lease has been extended). In the case of any lease that is terminable by the lessee upon payment of a penalty, the Attributable Debt shall be the lesser of the Attributable Debt determined assuming termination on the first date such lease may be terminated (in which case the Attributable Debt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viii</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include the amount of the penalty, but no rent shall be considered as required to be paid under such lease subsequent to the first date upon which it may be so terminated) or the Attributable Debt determined assuming no such termination.</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Augmenting Lender</w:t>
      </w:r>
      <w:r>
        <w:rPr>
          <w:rFonts w:ascii="Times New Roman" w:cs="Times New Roman" w:eastAsia="Times New Roman" w:hAnsi="Times New Roman"/>
          <w:sz w:val="19"/>
          <w:szCs w:val="19"/>
          <w:color w:val="auto"/>
        </w:rPr>
        <w:t>” has the meaning assigned to such term in Section 2.20.</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Audited Financial Statements</w:t>
      </w:r>
      <w:r>
        <w:rPr>
          <w:rFonts w:ascii="Times New Roman" w:cs="Times New Roman" w:eastAsia="Times New Roman" w:hAnsi="Times New Roman"/>
          <w:sz w:val="19"/>
          <w:szCs w:val="19"/>
          <w:color w:val="auto"/>
        </w:rPr>
        <w:t>” has the meaning assigned to such term in Section 3.04(a).</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 the period from and including the Effective Date to but excluding the earlier of the Maturity Date and the date of termination of the Commitments.</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Commitment</w:t>
      </w:r>
      <w:r>
        <w:rPr>
          <w:rFonts w:ascii="Times New Roman" w:cs="Times New Roman" w:eastAsia="Times New Roman" w:hAnsi="Times New Roman"/>
          <w:sz w:val="19"/>
          <w:szCs w:val="19"/>
          <w:color w:val="auto"/>
        </w:rPr>
        <w:t>” means, at any time with respect to any Lender, the Commitment of such Lender then in effect minus the Revolving Credit Exposure of such Lender at such time.</w:t>
      </w:r>
    </w:p>
    <w:p>
      <w:pPr>
        <w:spacing w:after="0" w:line="168"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85"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68"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3"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Banking Services</w:t>
      </w:r>
      <w:r>
        <w:rPr>
          <w:rFonts w:ascii="Times New Roman" w:cs="Times New Roman" w:eastAsia="Times New Roman" w:hAnsi="Times New Roman"/>
          <w:sz w:val="19"/>
          <w:szCs w:val="19"/>
          <w:color w:val="auto"/>
        </w:rPr>
        <w:t>” means each and any of the following bank services provided to the Borrower or any Subsidiary by any Lender or any of its Affiliates: (a) credit cards for commercial customers (including, without limitation, commercial credit cards and purchasing cards),</w:t>
      </w:r>
    </w:p>
    <w:p>
      <w:pPr>
        <w:spacing w:after="0" w:line="1" w:lineRule="exact"/>
        <w:rPr>
          <w:sz w:val="20"/>
          <w:szCs w:val="20"/>
          <w:color w:val="auto"/>
        </w:rPr>
      </w:pPr>
    </w:p>
    <w:p>
      <w:pPr>
        <w:ind w:firstLine="3"/>
        <w:spacing w:after="0" w:line="255" w:lineRule="auto"/>
        <w:tabs>
          <w:tab w:leader="none" w:pos="303"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stored value cards and (c) treasury management services (including, without limitation, controlled disbursement, automated clearinghouse transactions, return items, overdrafts and interstate depository network services).</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Banking Services Agreement</w:t>
      </w:r>
      <w:r>
        <w:rPr>
          <w:rFonts w:ascii="Times New Roman" w:cs="Times New Roman" w:eastAsia="Times New Roman" w:hAnsi="Times New Roman"/>
          <w:sz w:val="19"/>
          <w:szCs w:val="19"/>
          <w:color w:val="auto"/>
        </w:rPr>
        <w:t>” means any agreement entered into by the Borrower or any Subsidiary in connection with Banking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Services.</w:t>
      </w:r>
    </w:p>
    <w:p>
      <w:pPr>
        <w:spacing w:after="0" w:line="20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ix</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(i) Term Benchmark Loan for any Agreed Currency, the applicable Relevant Rate for such Agreed Currency or (ii) RFR Loan in any Agreed Currency, the applicable Relevant Rate for any Agreed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or a Term CORRA Reelection Event, and the related Benchmark Replacement Date have occurred with respect to the applicable Relevant Rate or the then-current Benchmark for any Agreed Currency, then “Benchmark” means the applicable Benchmark Replacement to the extent that such Benchmark Replacement has replaced such prior benchmark rate pursuant to clause (b) of Section 2.14.</w:t>
      </w:r>
    </w:p>
    <w:p>
      <w:pPr>
        <w:spacing w:after="0" w:line="18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Loan denominated in a Foreign Currency (other than any Loan denominated in Canadian Dollars), “Benchmark Replacement” shall mean the alternative set forth in (2) below:</w:t>
      </w:r>
    </w:p>
    <w:p>
      <w:pPr>
        <w:spacing w:after="0" w:line="174" w:lineRule="exact"/>
        <w:rPr>
          <w:sz w:val="20"/>
          <w:szCs w:val="20"/>
          <w:color w:val="auto"/>
        </w:rPr>
      </w:pPr>
    </w:p>
    <w:p>
      <w:pPr>
        <w:ind w:firstLine="1241"/>
        <w:spacing w:after="0" w:line="269" w:lineRule="auto"/>
        <w:tabs>
          <w:tab w:leader="none" w:pos="175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in the case of any Loan denominated in Dollars, the Adjusted Daily Simple SOFR and (y) in the case of any Loan denominated in Canadian Dollars, the Adjusted Daily Simple RFR for Canadian Dollars;</w:t>
      </w:r>
    </w:p>
    <w:p>
      <w:pPr>
        <w:spacing w:after="0" w:line="167" w:lineRule="exact"/>
        <w:rPr>
          <w:rFonts w:ascii="Times New Roman" w:cs="Times New Roman" w:eastAsia="Times New Roman" w:hAnsi="Times New Roman"/>
          <w:sz w:val="19"/>
          <w:szCs w:val="19"/>
          <w:color w:val="auto"/>
        </w:rPr>
      </w:pPr>
    </w:p>
    <w:p>
      <w:pPr>
        <w:jc w:val="both"/>
        <w:ind w:firstLine="1241"/>
        <w:spacing w:after="0" w:line="254" w:lineRule="auto"/>
        <w:tabs>
          <w:tab w:leader="none" w:pos="173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155"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2"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 the spread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73" w:lineRule="exact"/>
        <w:rPr>
          <w:sz w:val="20"/>
          <w:szCs w:val="20"/>
          <w:color w:val="auto"/>
        </w:rPr>
      </w:pPr>
    </w:p>
    <w:p>
      <w:pPr>
        <w:jc w:val="both"/>
        <w:ind w:firstLine="123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denominated in Dollars or Canadian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64"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with respect to any Benchmark, the earliest to occur of the following events with respect to such then-current Benchmark:</w:t>
      </w:r>
    </w:p>
    <w:p>
      <w:pPr>
        <w:spacing w:after="0" w:line="155" w:lineRule="exact"/>
        <w:rPr>
          <w:sz w:val="20"/>
          <w:szCs w:val="20"/>
          <w:color w:val="auto"/>
        </w:rPr>
      </w:pPr>
    </w:p>
    <w:p>
      <w:pPr>
        <w:jc w:val="both"/>
        <w:ind w:firstLine="1241"/>
        <w:spacing w:after="0" w:line="254" w:lineRule="auto"/>
        <w:tabs>
          <w:tab w:leader="none" w:pos="174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3" w:lineRule="exact"/>
        <w:rPr>
          <w:rFonts w:ascii="Times New Roman" w:cs="Times New Roman" w:eastAsia="Times New Roman" w:hAnsi="Times New Roman"/>
          <w:sz w:val="19"/>
          <w:szCs w:val="19"/>
          <w:color w:val="auto"/>
        </w:rPr>
      </w:pPr>
    </w:p>
    <w:p>
      <w:pPr>
        <w:jc w:val="both"/>
        <w:ind w:firstLine="1241"/>
        <w:spacing w:after="0" w:line="254" w:lineRule="auto"/>
        <w:tabs>
          <w:tab w:leader="none" w:pos="169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 or</w:t>
      </w:r>
    </w:p>
    <w:p>
      <w:pPr>
        <w:spacing w:after="0" w:line="184" w:lineRule="exact"/>
        <w:rPr>
          <w:rFonts w:ascii="Times New Roman" w:cs="Times New Roman" w:eastAsia="Times New Roman" w:hAnsi="Times New Roman"/>
          <w:sz w:val="19"/>
          <w:szCs w:val="19"/>
          <w:color w:val="auto"/>
        </w:rPr>
      </w:pPr>
    </w:p>
    <w:p>
      <w:pPr>
        <w:ind w:firstLine="1241"/>
        <w:spacing w:after="0" w:line="269" w:lineRule="auto"/>
        <w:tabs>
          <w:tab w:leader="none" w:pos="166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Term CORRA Reelection Event, the date that is thirty (30) days after the date a Term CORRA Notice (if any) is provided to the Lenders and the Borrower pursuant to Section 2.14(c).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6"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6"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any Benchmark, the occurrence of one or more of the following events with respect to such then-current Benchmark:</w:t>
      </w:r>
    </w:p>
    <w:p>
      <w:pPr>
        <w:spacing w:after="0" w:line="142" w:lineRule="exact"/>
        <w:rPr>
          <w:sz w:val="20"/>
          <w:szCs w:val="20"/>
          <w:color w:val="auto"/>
        </w:rPr>
      </w:pPr>
    </w:p>
    <w:p>
      <w:pPr>
        <w:jc w:val="both"/>
        <w:ind w:firstLine="1241"/>
        <w:spacing w:after="0" w:line="259" w:lineRule="auto"/>
        <w:tabs>
          <w:tab w:leader="none" w:pos="176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19"/>
          <w:szCs w:val="19"/>
          <w:color w:val="auto"/>
        </w:rPr>
      </w:pPr>
    </w:p>
    <w:p>
      <w:pPr>
        <w:jc w:val="both"/>
        <w:ind w:firstLine="1241"/>
        <w:spacing w:after="0" w:line="252" w:lineRule="auto"/>
        <w:tabs>
          <w:tab w:leader="none" w:pos="171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NYFRB, the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9"/>
          <w:szCs w:val="19"/>
          <w:color w:val="auto"/>
        </w:rPr>
      </w:pPr>
    </w:p>
    <w:p>
      <w:pPr>
        <w:jc w:val="both"/>
        <w:ind w:firstLine="1241"/>
        <w:spacing w:after="0" w:line="262" w:lineRule="auto"/>
        <w:tabs>
          <w:tab w:leader="none" w:pos="171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1"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5"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xii</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6"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or control as required by the Beneficial Ownership Regulation.</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46"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1841(k)) of such party.</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means Take-Two Interactive Software, Inc., a Delaware corporation or any successor thereto as required by Section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6.04.</w:t>
      </w:r>
    </w:p>
    <w:p>
      <w:pPr>
        <w:spacing w:after="0" w:line="195"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Loans of the same Type, made, converted or continued on the same date and, in the case of Term Benchmark Loans, as to which a single Interest Period is in effect.</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for a Borrowing in accordance with Section 2.03 in the form attached hereto as </w:t>
      </w:r>
      <w:r>
        <w:rPr>
          <w:rFonts w:ascii="Times New Roman" w:cs="Times New Roman" w:eastAsia="Times New Roman" w:hAnsi="Times New Roman"/>
          <w:sz w:val="19"/>
          <w:szCs w:val="19"/>
          <w:u w:val="single" w:color="auto"/>
          <w:color w:val="auto"/>
        </w:rPr>
        <w:t>Exhibit G-1</w:t>
      </w:r>
      <w:r>
        <w:rPr>
          <w:rFonts w:ascii="Times New Roman" w:cs="Times New Roman" w:eastAsia="Times New Roman" w:hAnsi="Times New Roman"/>
          <w:sz w:val="19"/>
          <w:szCs w:val="19"/>
          <w:color w:val="auto"/>
        </w:rPr>
        <w:t xml:space="preserve"> or any other form approved by the Administrative Agent.</w:t>
      </w:r>
    </w:p>
    <w:p>
      <w:pPr>
        <w:spacing w:after="0" w:line="155"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a Saturday or a Sunday) on which banks are open for business in New York City or Chicago;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in relation to Loans denominated in Sterling, any day (other than a Saturday or a Sunday) on which banks are open for business in London, (b) in relation to Loans denominated in Euros and in relation to the calculation or computation of EURIBOR, any day which is a TARGET Day, (c) if such day relates to any Loans denominated in Canadian Dollars or payment or purchase of Canadian Dollars and in relation to the calculation or computation of CORRA, any day except Saturday, Sunday on which banks are open for business in Canada and (d)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Dollars</w:t>
      </w:r>
      <w:r>
        <w:rPr>
          <w:rFonts w:ascii="Times New Roman" w:cs="Times New Roman" w:eastAsia="Times New Roman" w:hAnsi="Times New Roman"/>
          <w:sz w:val="19"/>
          <w:szCs w:val="19"/>
          <w:color w:val="auto"/>
        </w:rPr>
        <w:t>” means the lawful currency of Canada.</w:t>
      </w:r>
    </w:p>
    <w:p>
      <w:pPr>
        <w:spacing w:after="0" w:line="207"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Prime Rate</w:t>
      </w:r>
      <w:r>
        <w:rPr>
          <w:rFonts w:ascii="Times New Roman" w:cs="Times New Roman" w:eastAsia="Times New Roman" w:hAnsi="Times New Roman"/>
          <w:sz w:val="19"/>
          <w:szCs w:val="19"/>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any the above rate shall be less than 0%, such rate shall be deemed to be 0% for purposes of this Agreement. Any change in the Canadian Prime Rate due to a change in the PRIMCAN Index shall be effective from and including the effective date of such change in the PRIMCAN Index.</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CBR Loan</w:t>
      </w:r>
      <w:r>
        <w:rPr>
          <w:rFonts w:ascii="Times New Roman" w:cs="Times New Roman" w:eastAsia="Times New Roman" w:hAnsi="Times New Roman"/>
          <w:sz w:val="19"/>
          <w:szCs w:val="19"/>
          <w:color w:val="auto"/>
        </w:rPr>
        <w:t>” means a Loan that bears interest at a rate determined by reference to the Central Bank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xiii</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CBR Spread</w:t>
      </w:r>
      <w:r>
        <w:rPr>
          <w:rFonts w:ascii="Times New Roman" w:cs="Times New Roman" w:eastAsia="Times New Roman" w:hAnsi="Times New Roman"/>
          <w:sz w:val="19"/>
          <w:szCs w:val="19"/>
          <w:color w:val="auto"/>
        </w:rPr>
        <w:t>” means the Applicable Rate, applicable to such Loan that is replaced by a CBR Loan.</w:t>
      </w:r>
    </w:p>
    <w:p>
      <w:pPr>
        <w:spacing w:after="0" w:line="220"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w:t>
      </w:r>
      <w:r>
        <w:rPr>
          <w:rFonts w:ascii="Times New Roman" w:cs="Times New Roman" w:eastAsia="Times New Roman" w:hAnsi="Times New Roman"/>
          <w:sz w:val="19"/>
          <w:szCs w:val="19"/>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Canadian Dollars, the Canadian Prime Rate and (d) any other Alternative Currency determined after the Effective Date, a central bank rate as determined by the Administrative Agent in its reasonable discretion and (ii) the Floor; plus (B) the applicable Central Bank Rate Adjustment.</w:t>
      </w:r>
    </w:p>
    <w:p>
      <w:pPr>
        <w:spacing w:after="0" w:line="190"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 Adjustment</w:t>
      </w:r>
      <w:r>
        <w:rPr>
          <w:rFonts w:ascii="Times New Roman" w:cs="Times New Roman" w:eastAsia="Times New Roman" w:hAnsi="Times New Roman"/>
          <w:sz w:val="19"/>
          <w:szCs w:val="19"/>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SONIA was available (excluding, from such averaging, the highest and the lowest such Adjusted Daily Simple RFR applicable during such period of five RFR Business Days) minus (ii) the Central Bank Rate in respect of Sterling in effect on the last RFR Business Day in such period, and (c) any other Alternative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8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the acquisition of ownership, directly or indirectly, beneficially or of record, by any Person or group (within the meaning of the Securities Exchange Act of 1934 and the rules of the SEC thereunder as in effect on the date hereof), of Equity Interests representing more than a majority of the aggregate ordinary voting power represented by the issued and outstanding Equity Interests of the Borrower.</w:t>
      </w:r>
    </w:p>
    <w:p>
      <w:pPr>
        <w:spacing w:after="0" w:line="166"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w:t>
      </w:r>
    </w:p>
    <w:p>
      <w:pPr>
        <w:spacing w:after="0" w:line="2" w:lineRule="exact"/>
        <w:rPr>
          <w:sz w:val="20"/>
          <w:szCs w:val="20"/>
          <w:color w:val="auto"/>
        </w:rPr>
      </w:pPr>
    </w:p>
    <w:p>
      <w:pPr>
        <w:ind w:firstLine="3"/>
        <w:spacing w:after="0" w:line="269" w:lineRule="auto"/>
        <w:tabs>
          <w:tab w:leader="none" w:pos="265"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making or issuance of any request, rules, guideline, requirement or directive (whether or not having the force of law) by any Governmental Authority;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xiv</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w:t>
      </w:r>
    </w:p>
    <w:p>
      <w:pPr>
        <w:spacing w:after="0" w:line="216"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Combination</w:t>
      </w:r>
      <w:r>
        <w:rPr>
          <w:rFonts w:ascii="Times New Roman" w:cs="Times New Roman" w:eastAsia="Times New Roman" w:hAnsi="Times New Roman"/>
          <w:sz w:val="19"/>
          <w:szCs w:val="19"/>
          <w:b w:val="1"/>
          <w:bCs w:val="1"/>
          <w:color w:val="FF0000"/>
          <w:strike w:val="1"/>
        </w:rPr>
        <w:t>” means (i) the merger of Zebra MS I, Inc., a Delaware corporation and a direct, wholly owned Subsidiary of the Borrower, with and into Zynga, with Zynga continuing as the surviving corporation and (ii) the merger immediately following consummation of the foregoing of Zynga with and into Zebra MS II, Inc., a Delaware corporation and a direct, wholly owned Subsidiary of the Borrower, with Zebra MS II, Inc. continuing as the surviving corporation and a wholly owned Subsidiary of the Borrower.</w:t>
      </w:r>
    </w:p>
    <w:p>
      <w:pPr>
        <w:spacing w:after="0" w:line="162"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Commitment </w:t>
      </w:r>
      <w:r>
        <w:rPr>
          <w:rFonts w:ascii="Times New Roman" w:cs="Times New Roman" w:eastAsia="Times New Roman" w:hAnsi="Times New Roman"/>
          <w:sz w:val="19"/>
          <w:szCs w:val="19"/>
          <w:b w:val="1"/>
          <w:bCs w:val="1"/>
          <w:u w:val="single" w:color="auto"/>
          <w:color w:val="0000FF"/>
        </w:rPr>
        <w:t>on the Amendment No. 3 Effective Date</w:t>
      </w:r>
      <w:r>
        <w:rPr>
          <w:rFonts w:ascii="Times New Roman" w:cs="Times New Roman" w:eastAsia="Times New Roman" w:hAnsi="Times New Roman"/>
          <w:sz w:val="19"/>
          <w:szCs w:val="19"/>
          <w:color w:val="auto"/>
        </w:rPr>
        <w:t xml:space="preserve"> is set forth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or in the Assignment and Assumption or other documentation contemplated hereby pursuant to which such Lender shall have assumed its Commitment, as applicable. </w:t>
      </w:r>
      <w:r>
        <w:rPr>
          <w:rFonts w:ascii="Times New Roman" w:cs="Times New Roman" w:eastAsia="Times New Roman" w:hAnsi="Times New Roman"/>
          <w:sz w:val="19"/>
          <w:szCs w:val="19"/>
          <w:b w:val="1"/>
          <w:bCs w:val="1"/>
          <w:color w:val="0000FF"/>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6913245</wp:posOffset>
            </wp:positionH>
            <wp:positionV relativeFrom="paragraph">
              <wp:posOffset>-25400</wp:posOffset>
            </wp:positionV>
            <wp:extent cx="224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1">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0000FF"/>
        </w:rPr>
        <w:t>the avoidance of doubt, all “Commitments” in effect immediately prior to the Amendment No. 3 Effective Date were terminated on the Amendment No. 3 Effective Date.</w:t>
      </w:r>
    </w:p>
    <w:p>
      <w:pPr>
        <w:spacing w:after="0" w:line="181"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has the meaning assigned to such term in Section 9.01(d).</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means a certificate of a Financial Officer of the Borrower substantially in the form attached as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Computation Date</w:t>
      </w:r>
      <w:r>
        <w:rPr>
          <w:rFonts w:ascii="Times New Roman" w:cs="Times New Roman" w:eastAsia="Times New Roman" w:hAnsi="Times New Roman"/>
          <w:sz w:val="19"/>
          <w:szCs w:val="19"/>
          <w:color w:val="auto"/>
        </w:rPr>
        <w:t>” is defined in Section 2.04.</w:t>
      </w:r>
    </w:p>
    <w:p>
      <w:pPr>
        <w:spacing w:after="0" w:line="220"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Connection Income Taxes</w:t>
      </w:r>
      <w:r>
        <w:rPr>
          <w:rFonts w:ascii="Times New Roman" w:cs="Times New Roman" w:eastAsia="Times New Roman" w:hAnsi="Times New Roman"/>
          <w:sz w:val="19"/>
          <w:szCs w:val="19"/>
          <w:color w:val="auto"/>
        </w:rPr>
        <w:t>” means Other Connection Taxes that are imposed on or measured by net income (however denominated) or that are franchise Taxes or branch profits Taxes.</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Consenting Lender</w:t>
      </w:r>
      <w:r>
        <w:rPr>
          <w:rFonts w:ascii="Times New Roman" w:cs="Times New Roman" w:eastAsia="Times New Roman" w:hAnsi="Times New Roman"/>
          <w:sz w:val="19"/>
          <w:szCs w:val="19"/>
          <w:color w:val="auto"/>
        </w:rPr>
        <w:t>” has the meaning assigned to such term in Section 2.23.</w:t>
      </w:r>
    </w:p>
    <w:p>
      <w:pPr>
        <w:spacing w:after="0" w:line="220"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Adjusted EBITDA</w:t>
      </w:r>
      <w:r>
        <w:rPr>
          <w:rFonts w:ascii="Times New Roman" w:cs="Times New Roman" w:eastAsia="Times New Roman" w:hAnsi="Times New Roman"/>
          <w:sz w:val="19"/>
          <w:szCs w:val="19"/>
          <w:color w:val="auto"/>
        </w:rPr>
        <w:t>” means, for any period, Consolidated Net Income for such period plus, without duplication and to the extent deducted in determining Consolidated Net Income for such period, the sum of (a) expenses paid or accrued for taxes based on income, profits or capital, including federal, foreign and state income, franchise and similar taxes, (b) interest expense, amortization or write-off of debt discount and debt issuance costs and commissions, discounts and other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charges associated with Indebtedness (including the Loans), (c) depreciation and amortization expense, (d) amortization of intangibles (including, but not limited to, goodwill) and organization costs, (e) any unusual, infrequent, extraordinary or non-recurring charges, expenses or losses, (f) non-cash stock option and other equity-based compensation expenses, (g) any other non-cash charges, non-cash expenses or non-cash losses of the Borrower or any Subsidiaries for such period (excluding any such charge, expense or loss incurred in the ordinary course of business that constitutes an accrual of, or a reserve for, cash charges for any future period), (h) any losses from an early extinguishment of indebtedness, (i) any unrealized losses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unrealized gains) in respect of Swap Agreements, (j) any foreign exchange losses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foreign exchange gains), (k) to the extent actually reimbursed in cash, expenses incurred to the extent covered by indemnification provisions in any agreement in connection with any acquisition, (l) acquisition-related expenses (including, but not limited to, intangibles, goodwill and contingent consideration), whether or not such acquisition is successful, (m) transaction fees, costs and expenses related to any issuance of equity securities, whether or not successful, (n) restructuring, integration and related charges (which for the avoidance of doubt, shall include retention, severance, systems establishment costs, contract termination costs, including future lease commitments, and costs to consolidate facilities and relocate employees), (o) non-recurring litigation expenses, (p) losses (or gains) on strategic investments, (q) losses on discontinued licensed intellectual property commitments, (r) other adjustments, exclusions and add-backs consistent with Regulation S-X of the SEC, (s) other addbacks and adjustments set forth in the Models, and</w:t>
      </w:r>
    </w:p>
    <w:p>
      <w:pPr>
        <w:spacing w:after="0" w:line="5" w:lineRule="exact"/>
        <w:rPr>
          <w:sz w:val="20"/>
          <w:szCs w:val="20"/>
          <w:color w:val="auto"/>
        </w:rPr>
      </w:pPr>
    </w:p>
    <w:p>
      <w:pPr>
        <w:jc w:val="both"/>
        <w:ind w:firstLine="3"/>
        <w:spacing w:after="0" w:line="263" w:lineRule="auto"/>
        <w:tabs>
          <w:tab w:leader="none" w:pos="2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“run rate” synergies, operating expense reductions and other net cost savings and integration costs, in each case projected by the Borrower in connection with acquisitions, asset dispositions (including the termination or discontinuance of activities constituting such business) and/or other operating improvement, restructuring, cost savings initiative or other similar initiative taken after the Effective Date that have been consummated during the most recently completed four consecutive fiscal quarters of the Borrower for which financial statements have been delivered pursuant to Section 5.01(a) or (b), as applicable (calculated on a pro forma basis as though such synergies, expense reductions and cost savings had been realized on the first day of the period for which Consolidated EBITDA is being determined), net of the amount of actual benefits realized during such period from such actions; provided that (x)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18 months following any such action as set forth in reasonable detail on a certificate of a Financial Officer of the Borrower delivered to the Administrative Agent, (y) no such amounts shall be added pursuant to this clause</w:t>
      </w:r>
    </w:p>
    <w:p>
      <w:pPr>
        <w:jc w:val="both"/>
        <w:ind w:firstLine="3"/>
        <w:spacing w:after="0" w:line="250" w:lineRule="auto"/>
        <w:tabs>
          <w:tab w:leader="none" w:pos="24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duplicative of any expenses or charges otherwise added to Consolidated EBITDA, whether through a pro forma adjustment or otherwise and (z) the aggregate amount added pursuant to this clause (t) for any period shall in no event exceed 15% of Consolidated EBITDA for such period (calculated after giving effect to any such add-backs pursuant to this clause (t)), and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to the extent included in the statement of such Consolidated Net Income for such period, the sum of (1) interest income, (2) any extraordinary income or gains determined in accordance with GAAP and (3) any other non-cash income (excluding any items that represent the reversal of any accrual of, or cash reserve for, anticipated cash charges in any prior period), all as determined on a consolidated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increases in deferred revenue for such period shall be added back to Consolidated Net Income in calculating Consolidated Adjusted EBITDA for such period, (ii) decreases in deferred revenue for such period shall be subtracted from Consolidated Net Income in calculating Consolidated Adjusted EBITDA for such period, (iii) cash payments made in such period in respect of non-cash charges, expenses or losses added back to Consolidated Adjusted EBITDA in a prior period shall be subtracted from Consolidated Net Income in calculating Consolidated Adjusted EBITDA in the period when such cash payment is made, (iv) there shall be included in determining Consolidated Adjusted EBITDA for any period, without duplication,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xvi</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Acquired EBITDA of any Person, property, business or asset acquired by the Borrower or any Subsidiary during such period to the extent not subsequently sold, transferred or otherwise disposed of during such period (but not including the Acquired EBITDA of any related Person, property, business or assets to the extent not so acquired) (each such Person, property, business or asset acquired, including pursuant to a transaction consummated prior to the Effective Date, and not subsequently sold, transferred or otherwise disposed of, an “</w:t>
      </w:r>
      <w:r>
        <w:rPr>
          <w:rFonts w:ascii="Times New Roman" w:cs="Times New Roman" w:eastAsia="Times New Roman" w:hAnsi="Times New Roman"/>
          <w:sz w:val="19"/>
          <w:szCs w:val="19"/>
          <w:u w:val="single" w:color="auto"/>
          <w:color w:val="auto"/>
        </w:rPr>
        <w:t>Acquired Entity or Business</w:t>
      </w:r>
      <w:r>
        <w:rPr>
          <w:rFonts w:ascii="Times New Roman" w:cs="Times New Roman" w:eastAsia="Times New Roman" w:hAnsi="Times New Roman"/>
          <w:sz w:val="19"/>
          <w:szCs w:val="19"/>
          <w:color w:val="auto"/>
        </w:rPr>
        <w:t xml:space="preserve">”), in each case based on the Acquired EBITDA of such Acquired Entity or Business for such period (including the portion thereof occurring prior to such acquisition or conversion) determined on a historical pro forma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election of the Borrower, such Acquired EBITDA adjustment shall not be required for any Acquired Entity or Business to the extent the aggregate consideration paid in connection therewith is less than $1,000,000,000 per Acquired Entity or Business and (v) there shall be excluded in determining Consolidated Adjusted EBITDA for any period, without duplication, the Disposed EBITDA of any Person, property, business or asset sold, transferred or otherwise disposed of by the Borrower or any Subsidiary during such period (but not excluding the Disposed EBITDA of any related Person, property, business or assets to the extent not so disposed of) (each such Person, property, business or asset so sold, transferred or otherwise disposed of, a “</w:t>
      </w:r>
      <w:r>
        <w:rPr>
          <w:rFonts w:ascii="Times New Roman" w:cs="Times New Roman" w:eastAsia="Times New Roman" w:hAnsi="Times New Roman"/>
          <w:sz w:val="19"/>
          <w:szCs w:val="19"/>
          <w:u w:val="single" w:color="auto"/>
          <w:color w:val="auto"/>
        </w:rPr>
        <w:t>Disposed Entity or Business</w:t>
      </w:r>
      <w:r>
        <w:rPr>
          <w:rFonts w:ascii="Times New Roman" w:cs="Times New Roman" w:eastAsia="Times New Roman" w:hAnsi="Times New Roman"/>
          <w:sz w:val="19"/>
          <w:szCs w:val="19"/>
          <w:color w:val="auto"/>
        </w:rPr>
        <w:t xml:space="preserve">”), based on the Disposed EBITDA of such Disposed Entity or Business for such period (including the portion thereof occurring prior to such sale, transfer, disposition or conversion) determined on a historical pro forma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election of the Borrower, such Disposed EBITDA adjustment shall not be required for any Disposed Entity or Business to the extent the aggregate consideration received in connection therewith is less than $500,000,000 per Disposed Entity or Business.</w:t>
      </w:r>
    </w:p>
    <w:p>
      <w:pPr>
        <w:spacing w:after="0" w:line="18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means, for any period, the net income or loss of the Borrower and its consolidated Subsidiaries for such period, determined on a consolidated basis in conformity with GAAP.</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Assets</w:t>
      </w:r>
      <w:r>
        <w:rPr>
          <w:rFonts w:ascii="Times New Roman" w:cs="Times New Roman" w:eastAsia="Times New Roman" w:hAnsi="Times New Roman"/>
          <w:sz w:val="19"/>
          <w:szCs w:val="19"/>
          <w:color w:val="auto"/>
        </w:rPr>
        <w:t>” means, as of the date of any determination thereof, total assets of the Borrower and its Subsidiaries calculated in accordance with GAAP on a consolidated basis as of such date.</w:t>
      </w:r>
    </w:p>
    <w:p>
      <w:pPr>
        <w:spacing w:after="0" w:line="155"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Indebtedness</w:t>
      </w:r>
      <w:r>
        <w:rPr>
          <w:rFonts w:ascii="Times New Roman" w:cs="Times New Roman" w:eastAsia="Times New Roman" w:hAnsi="Times New Roman"/>
          <w:sz w:val="19"/>
          <w:szCs w:val="19"/>
          <w:color w:val="auto"/>
        </w:rPr>
        <w:t xml:space="preserve">” means, as of the date of any determination thereof, the sum, without duplication and to the extent such Indebtedness would be required to appear as debt or indebtedness on a consolidated balance sheet of the Borrower, of (a) the aggregate Indebtedness of the Borrower and its Subsidiaries of the type described in clause (a), (b) or (g) of the definition of Indebtedness, calculated on a consolidated basis as of such time in accordance with GAAP, and (b) Indebtedness of the type referred to in clause (a) hereof of another Person guaranteed by the Borrower or any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calculating the ratio of Consolidated Total Indebtedness to Consolidated Adjusted EBITDA set forth in Section 6.05, Consolidated Total Indebtedness shall be reduced by up to </w:t>
      </w:r>
      <w:r>
        <w:rPr>
          <w:rFonts w:ascii="Times New Roman" w:cs="Times New Roman" w:eastAsia="Times New Roman" w:hAnsi="Times New Roman"/>
          <w:sz w:val="19"/>
          <w:szCs w:val="19"/>
          <w:b w:val="1"/>
          <w:bCs w:val="1"/>
          <w:color w:val="FF0000"/>
          <w:strike w:val="1"/>
        </w:rPr>
        <w:t>$1,000,000,000</w:t>
      </w:r>
      <w:r>
        <w:rPr>
          <w:rFonts w:ascii="Times New Roman" w:cs="Times New Roman" w:eastAsia="Times New Roman" w:hAnsi="Times New Roman"/>
          <w:sz w:val="19"/>
          <w:szCs w:val="19"/>
          <w:b w:val="1"/>
          <w:bCs w:val="1"/>
          <w:u w:val="single" w:color="auto"/>
          <w:color w:val="0000FF"/>
        </w:rPr>
        <w:t>the Maximum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Cash Netting Amount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of cash and Permitted Investments on the consolidated balance sheet of the Borrower and its Subsidiaries on such date that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does not appear as “restricted” on the consolidated balance sheet of the Borrower or such Subsidiary (unless such appearance is related to the Loan Documents).</w:t>
      </w:r>
    </w:p>
    <w:p>
      <w:pPr>
        <w:spacing w:after="0" w:line="187"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xvii</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6" w:lineRule="exact"/>
        <w:rPr>
          <w:sz w:val="20"/>
          <w:szCs w:val="20"/>
          <w:color w:val="auto"/>
        </w:rPr>
      </w:pPr>
    </w:p>
    <w:p>
      <w:pPr>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Convertible Debt Security</w:t>
      </w:r>
      <w:r>
        <w:rPr>
          <w:rFonts w:ascii="Times New Roman" w:cs="Times New Roman" w:eastAsia="Times New Roman" w:hAnsi="Times New Roman"/>
          <w:sz w:val="19"/>
          <w:szCs w:val="19"/>
          <w:color w:val="auto"/>
        </w:rPr>
        <w:t>” means debt securities, the terms of which provide for conversion into Equity Interests, cash by reference to such Equity Interests or a combination thereof.</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administrator).</w:t>
      </w: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CORRA Administrator</w:t>
      </w:r>
      <w:r>
        <w:rPr>
          <w:rFonts w:ascii="Times New Roman" w:cs="Times New Roman" w:eastAsia="Times New Roman" w:hAnsi="Times New Roman"/>
          <w:sz w:val="19"/>
          <w:szCs w:val="19"/>
          <w:color w:val="auto"/>
        </w:rPr>
        <w:t>” means the Bank of Canada (or any successor administrator).</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CORRA Determination Date</w:t>
      </w:r>
      <w:r>
        <w:rPr>
          <w:rFonts w:ascii="Times New Roman" w:cs="Times New Roman" w:eastAsia="Times New Roman" w:hAnsi="Times New Roman"/>
          <w:sz w:val="19"/>
          <w:szCs w:val="19"/>
          <w:color w:val="auto"/>
        </w:rPr>
        <w:t>” has the meaning specified in the definition of “Daily Simple CORRA”.</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CORRA Rate Day</w:t>
      </w:r>
      <w:r>
        <w:rPr>
          <w:rFonts w:ascii="Times New Roman" w:cs="Times New Roman" w:eastAsia="Times New Roman" w:hAnsi="Times New Roman"/>
          <w:sz w:val="19"/>
          <w:szCs w:val="19"/>
          <w:color w:val="auto"/>
        </w:rPr>
        <w:t>” has the meaning specified in the definition of “Daily Simple CORRA”.</w:t>
      </w:r>
    </w:p>
    <w:p>
      <w:pPr>
        <w:spacing w:after="0" w:line="207" w:lineRule="exact"/>
        <w:rPr>
          <w:sz w:val="20"/>
          <w:szCs w:val="20"/>
          <w:color w:val="auto"/>
        </w:rPr>
      </w:pPr>
    </w:p>
    <w:p>
      <w:pPr>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Corresponding Tenor</w:t>
      </w:r>
      <w:r>
        <w:rPr>
          <w:rFonts w:ascii="Times New Roman" w:cs="Times New Roman" w:eastAsia="Times New Roman" w:hAnsi="Times New Roman"/>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w:t>
      </w:r>
    </w:p>
    <w:p>
      <w:pPr>
        <w:spacing w:after="0" w:line="207" w:lineRule="exact"/>
        <w:rPr>
          <w:sz w:val="20"/>
          <w:szCs w:val="20"/>
          <w:color w:val="auto"/>
        </w:rPr>
      </w:pPr>
    </w:p>
    <w:p>
      <w:pPr>
        <w:ind w:left="1860" w:hanging="619"/>
        <w:spacing w:after="0"/>
        <w:tabs>
          <w:tab w:leader="none" w:pos="18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06"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has the meaning assigned to it in Section 9.18.</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Event</w:t>
      </w:r>
      <w:r>
        <w:rPr>
          <w:rFonts w:ascii="Times New Roman" w:cs="Times New Roman" w:eastAsia="Times New Roman" w:hAnsi="Times New Roman"/>
          <w:sz w:val="19"/>
          <w:szCs w:val="19"/>
          <w:color w:val="auto"/>
        </w:rPr>
        <w:t>” means a Borrowing, the issuance, amendment, renewal or extension of a Letter of Credit, an LC Disbursement or any of the foregoing.</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Party</w:t>
      </w:r>
      <w:r>
        <w:rPr>
          <w:rFonts w:ascii="Times New Roman" w:cs="Times New Roman" w:eastAsia="Times New Roman" w:hAnsi="Times New Roman"/>
          <w:sz w:val="19"/>
          <w:szCs w:val="19"/>
          <w:color w:val="auto"/>
        </w:rPr>
        <w:t>” means the Administrative Agent, any Issuing Bank or any other Lender.</w:t>
      </w:r>
    </w:p>
    <w:p>
      <w:pPr>
        <w:spacing w:after="0" w:line="207"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Rating</w:t>
      </w:r>
      <w:r>
        <w:rPr>
          <w:rFonts w:ascii="Times New Roman" w:cs="Times New Roman" w:eastAsia="Times New Roman" w:hAnsi="Times New Roman"/>
          <w:sz w:val="19"/>
          <w:szCs w:val="19"/>
          <w:color w:val="auto"/>
        </w:rPr>
        <w:t>” means the ratings assigned by each of S&amp;P and Moody’s to the Borrower’s long-term senior, unsecured debt (without any credit enhancement).</w:t>
      </w:r>
    </w:p>
    <w:p>
      <w:pPr>
        <w:spacing w:after="0" w:line="155"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CORRA</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CORRA Rate Day</w:t>
      </w:r>
      <w:r>
        <w:rPr>
          <w:rFonts w:ascii="Times New Roman" w:cs="Times New Roman" w:eastAsia="Times New Roman" w:hAnsi="Times New Roman"/>
          <w:sz w:val="19"/>
          <w:szCs w:val="19"/>
          <w:color w:val="auto"/>
        </w:rPr>
        <w:t>”), a rate per annum equal to CORRA for the day (such day “</w:t>
      </w:r>
      <w:r>
        <w:rPr>
          <w:rFonts w:ascii="Times New Roman" w:cs="Times New Roman" w:eastAsia="Times New Roman" w:hAnsi="Times New Roman"/>
          <w:sz w:val="19"/>
          <w:szCs w:val="19"/>
          <w:u w:val="single" w:color="auto"/>
          <w:color w:val="auto"/>
        </w:rPr>
        <w:t>CORRA Determination Date</w:t>
      </w:r>
      <w:r>
        <w:rPr>
          <w:rFonts w:ascii="Times New Roman" w:cs="Times New Roman" w:eastAsia="Times New Roman" w:hAnsi="Times New Roman"/>
          <w:sz w:val="19"/>
          <w:szCs w:val="19"/>
          <w:color w:val="auto"/>
        </w:rPr>
        <w:t>”)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xviii</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7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an interest rate per annum equal to, for any RFR Loan denominated in (i) Sterling, SONIA for the day that is 4 RFR Business Days prior to (A) if such RFR Interest Day is an RFR Business Day, such RFR Interest Day or (B) if such RFR Interest Day is not an RFR Business Day, the RFR Business Day immediately preceding such RFR Interest Day, (ii) Dollars, Daily Simple SOFR and (iii) Canadian Dollars, Daily Simple CORRA (following a Benchmark Transition Event and a Benchmark Replacement Date with respect to Term CORRA).</w:t>
      </w:r>
    </w:p>
    <w:p>
      <w:pPr>
        <w:spacing w:after="0" w:line="185"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5"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which constitutes an Event of Default or which upon notice, lapse of time or both would, unless cured or waived, become an Event of Default.</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42"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88"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Disclosure Letter</w:t>
      </w:r>
      <w:r>
        <w:rPr>
          <w:rFonts w:ascii="Times New Roman" w:cs="Times New Roman" w:eastAsia="Times New Roman" w:hAnsi="Times New Roman"/>
          <w:sz w:val="19"/>
          <w:szCs w:val="19"/>
          <w:color w:val="auto"/>
        </w:rPr>
        <w:t>” means the disclosure letter, dated as of the date hereof, as amended or supplemented from time to time by Borrower with the written consent of the Administrative Agent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xix</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supplemented by the Borrower pursuant to the terms of this Agreement), delivered by Borrower to Administrative Agent for the benefit of the Lenders.</w:t>
      </w:r>
    </w:p>
    <w:p>
      <w:pPr>
        <w:spacing w:after="0" w:line="14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Disposed EBITDA</w:t>
      </w:r>
      <w:r>
        <w:rPr>
          <w:rFonts w:ascii="Times New Roman" w:cs="Times New Roman" w:eastAsia="Times New Roman" w:hAnsi="Times New Roman"/>
          <w:sz w:val="19"/>
          <w:szCs w:val="19"/>
          <w:color w:val="auto"/>
        </w:rPr>
        <w:t>” means, with respect to any Disposed Entity or Business for any period through (but not after) the date of such disposition, the amount for such period of Consolidated Adjusted EBITDA of such Disposed Entity or Business (determined as if references to the Borrower and the Subsidiaries in the definition of the term “Consolidated Adjusted EBITDA” (and in the component financial definitions used therein) were references to such Disposed Entity or Business and its subsidiaries), on a consolidated basis for such Disposed Entity or Business in accordance with GAAP as determined in good faith by the Borrower.</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Disposed Entity or Business</w:t>
      </w:r>
      <w:r>
        <w:rPr>
          <w:rFonts w:ascii="Times New Roman" w:cs="Times New Roman" w:eastAsia="Times New Roman" w:hAnsi="Times New Roman"/>
          <w:sz w:val="19"/>
          <w:szCs w:val="19"/>
          <w:color w:val="auto"/>
        </w:rPr>
        <w:t>” has the meaning assigned to such term in the definition of the term “Consolidated Adjusted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EBITDA”.</w:t>
      </w:r>
    </w:p>
    <w:p>
      <w:pPr>
        <w:spacing w:after="0" w:line="20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Amount</w:t>
      </w:r>
      <w:r>
        <w:rPr>
          <w:rFonts w:ascii="Times New Roman" w:cs="Times New Roman" w:eastAsia="Times New Roman" w:hAnsi="Times New Roman"/>
          <w:sz w:val="19"/>
          <w:szCs w:val="19"/>
          <w:color w:val="auto"/>
        </w:rPr>
        <w:t>” of any currency at any date shall mean (i) the amount of such currency if such currency is Dollars or (ii) the Equivalent Amount thereof in Dollars if such currency is a Foreign Currency.</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refers to lawful money of the United States of America.</w:t>
      </w:r>
    </w:p>
    <w:p>
      <w:pPr>
        <w:spacing w:after="0" w:line="207"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means a Subsidiary organized under the laws of the United States of America, any state thereof or the District of Columbia.</w:t>
      </w:r>
    </w:p>
    <w:p>
      <w:pPr>
        <w:spacing w:after="0" w:line="155"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9"/>
          <w:szCs w:val="19"/>
          <w:b w:val="1"/>
          <w:bCs w:val="1"/>
          <w:color w:val="FF0000"/>
          <w:strike w:val="1"/>
        </w:rPr>
        <w:t>the date on which the conditions specified in Section 4.01 are satisfied (or waived in accordance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Section 9.02)</w:t>
      </w:r>
      <w:r>
        <w:rPr>
          <w:rFonts w:ascii="Times New Roman" w:cs="Times New Roman" w:eastAsia="Times New Roman" w:hAnsi="Times New Roman"/>
          <w:sz w:val="19"/>
          <w:szCs w:val="19"/>
          <w:b w:val="1"/>
          <w:bCs w:val="1"/>
          <w:u w:val="single" w:color="auto"/>
          <w:color w:val="0000FF"/>
        </w:rPr>
        <w:t>May 23, 2022</w:t>
      </w:r>
      <w:r>
        <w:rPr>
          <w:rFonts w:ascii="Times New Roman" w:cs="Times New Roman" w:eastAsia="Times New Roman" w:hAnsi="Times New Roman"/>
          <w:sz w:val="19"/>
          <w:szCs w:val="19"/>
          <w:color w:val="000000"/>
        </w:rPr>
        <w:t>.</w:t>
      </w:r>
    </w:p>
    <w:p>
      <w:pPr>
        <w:spacing w:after="0" w:line="160"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Effective Date Refinancing</w:t>
      </w:r>
      <w:r>
        <w:rPr>
          <w:rFonts w:ascii="Times New Roman" w:cs="Times New Roman" w:eastAsia="Times New Roman" w:hAnsi="Times New Roman"/>
          <w:sz w:val="19"/>
          <w:szCs w:val="19"/>
          <w:b w:val="1"/>
          <w:bCs w:val="1"/>
          <w:color w:val="FF0000"/>
          <w:strike w:val="1"/>
        </w:rPr>
        <w:t>” means (i) (x) the credit facility evidenced by the Existing Borrower Credit Agreement and (y) the credit facility evidenced by the Existing Zynga Credit Agreement, in each case, shall have been terminated and cancelled and all indebtedness thereunder shall have been fully repaid (and, in the case of the Existing Zynga Credit Agreement, any liens related thereto shall be released) and (ii) the Existing Zynga Notes Refinancing.</w:t>
      </w:r>
    </w:p>
    <w:p>
      <w:pPr>
        <w:spacing w:after="0" w:line="16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6"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all laws, rules, regulations, codes, ordinances, orders, decrees, judgments, injunctions, or notices issued or promulgated by any Governmental Authority, relating in any way to the environment, preservation or reclamation of natural resources, the management, release or threatened release of any Hazardous Material or to employee health and safety matters.</w:t>
      </w:r>
    </w:p>
    <w:p>
      <w:pPr>
        <w:spacing w:after="0" w:line="174"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environmental remediation, fines, penalties or indemnities), of or related to the Borrower or any Subsidiary directly or indirectly resulting from or based upon</w:t>
      </w:r>
    </w:p>
    <w:p>
      <w:pPr>
        <w:spacing w:after="0" w:line="1" w:lineRule="exact"/>
        <w:rPr>
          <w:sz w:val="20"/>
          <w:szCs w:val="20"/>
          <w:color w:val="auto"/>
        </w:rPr>
      </w:pPr>
    </w:p>
    <w:p>
      <w:pPr>
        <w:ind w:left="260" w:hanging="257"/>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any Environmental Law, (b) the generation, use, handling, transportation, storage, treatment or disposal of any Hazardous Materials,</w:t>
      </w:r>
    </w:p>
    <w:p>
      <w:pPr>
        <w:spacing w:after="0" w:line="17" w:lineRule="exact"/>
        <w:rPr>
          <w:rFonts w:ascii="Times New Roman" w:cs="Times New Roman" w:eastAsia="Times New Roman" w:hAnsi="Times New Roman"/>
          <w:sz w:val="18"/>
          <w:szCs w:val="18"/>
          <w:color w:val="auto"/>
        </w:rPr>
      </w:pPr>
    </w:p>
    <w:p>
      <w:pPr>
        <w:ind w:firstLine="3"/>
        <w:spacing w:after="0" w:line="255" w:lineRule="auto"/>
        <w:tabs>
          <w:tab w:leader="none" w:pos="263"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Notwithstanding the foregoing, and for the avoidance of doubt, (i) Convertible Debt Securities shall not for purposes of this definition be deemed to be an Equity Interest and (ii) Permitted Bond Hedges shall not for purposes of this definition be deemed to be an Equity Interest.</w:t>
      </w:r>
    </w:p>
    <w:p>
      <w:pPr>
        <w:spacing w:after="0" w:line="18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Equivalent Amount</w:t>
      </w:r>
      <w:r>
        <w:rPr>
          <w:rFonts w:ascii="Times New Roman" w:cs="Times New Roman" w:eastAsia="Times New Roman" w:hAnsi="Times New Roman"/>
          <w:sz w:val="19"/>
          <w:szCs w:val="19"/>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 or, in the case of a calculation pursuant to Section 2.04, on or as of the most recent Computation Date provided for in Section 2.04.</w:t>
      </w:r>
    </w:p>
    <w:p>
      <w:pPr>
        <w:spacing w:after="0" w:line="166"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 from time to time, and the rules and regulations promulgated thereunder.</w:t>
      </w:r>
    </w:p>
    <w:p>
      <w:pPr>
        <w:spacing w:after="0" w:line="15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that, together with the Borrower, is treated as a single employer under Section 414(b) or (c) of the Code or Section 4001(a)(14) of ERISA or, solely for purposes of Section 302 of ERISA and Section 412 of the Code, is treated as a single employer under Section 414 of the Code.</w:t>
      </w:r>
    </w:p>
    <w:p>
      <w:pPr>
        <w:spacing w:after="0" w:line="161"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(including under Section 4062(e) of ERISA)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Withdrawal Liability or a determination that a Multiemployer Plan is, or is expected to be, insolvent, within the meaning of Title IV of ERISA, or in endangered or critical status, within the meaning of Section 305 of ERISA.</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mean the single currency of the Participating Member States.</w:t>
      </w:r>
    </w:p>
    <w:p>
      <w:pPr>
        <w:spacing w:after="0" w:line="207"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Rate</w:t>
      </w:r>
      <w:r>
        <w:rPr>
          <w:rFonts w:ascii="Times New Roman" w:cs="Times New Roman" w:eastAsia="Times New Roman" w:hAnsi="Times New Roman"/>
          <w:sz w:val="19"/>
          <w:szCs w:val="19"/>
          <w:color w:val="auto"/>
        </w:rPr>
        <w:t>” means, with respect to any Term Benchmark Borrowing denominated in Euros and for any Interest Period, the EURIBOR Screen Rate, two TARGET Days prior to the commencement of such Interest Period.</w:t>
      </w:r>
    </w:p>
    <w:p>
      <w:pPr>
        <w:spacing w:after="0" w:line="142"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has the meaning assigned to such term in Article VII.</w:t>
      </w:r>
    </w:p>
    <w:p>
      <w:pPr>
        <w:spacing w:after="0" w:line="220"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Rate</w:t>
      </w:r>
      <w:r>
        <w:rPr>
          <w:rFonts w:ascii="Times New Roman" w:cs="Times New Roman" w:eastAsia="Times New Roman" w:hAnsi="Times New Roman"/>
          <w:sz w:val="19"/>
          <w:szCs w:val="19"/>
          <w:color w:val="auto"/>
        </w:rPr>
        <w:t>” means, on any day, with respect to any Foreign Currency, the rate of exchange for the purchase of Dollars with the Agreed Currency last provided (either by publication or otherwise provided to the Administrative Agent) by the applicable Thompson Reuters Corp. (“</w:t>
      </w:r>
      <w:r>
        <w:rPr>
          <w:rFonts w:ascii="Times New Roman" w:cs="Times New Roman" w:eastAsia="Times New Roman" w:hAnsi="Times New Roman"/>
          <w:sz w:val="19"/>
          <w:szCs w:val="19"/>
          <w:u w:val="single" w:color="auto"/>
          <w:color w:val="auto"/>
        </w:rPr>
        <w:t>Reuters</w:t>
      </w:r>
      <w:r>
        <w:rPr>
          <w:rFonts w:ascii="Times New Roman" w:cs="Times New Roman" w:eastAsia="Times New Roman" w:hAnsi="Times New Roman"/>
          <w:sz w:val="19"/>
          <w:szCs w:val="19"/>
          <w:color w:val="auto"/>
        </w:rPr>
        <w:t xml:space="preserve">”) source on the Business Day (New York City time) immediately preceding the date of determination or if such service ceases to be available or ceases to provide a rate of exchange for the purchase of dollars with the Agreed Currency, as provided by such other publicly available information service which provides that rate of exchange at such time in place of Reuters reasonably chosen by the Administrative Agent and approved by the Borrower acting reasonably and in good faith (or if such service ceases to be available or ceases to provide such rate of exchange, any method of determination the Administrative Agent reasonably deems appropriate and approved by the Borrower acting reasonably and in good faith);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at the time of any such determination, for any reason, no such spot rate is being quoted, the Administrative Agent may use any reasonable method it deems appropriate and approved by the Borrower acting reasonably and in good faith to determine such rate, and such determination shall be conclusive absent manifest error.</w:t>
      </w:r>
    </w:p>
    <w:p>
      <w:pPr>
        <w:spacing w:after="0" w:line="19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xxii</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date on which (i) such Lender acquires such interest in the applicable Letter of Credit or Commitment or, if such Lender did not fund the applicable Loan pursuant to a prior Commitment, on the date such Lender acquires the applicable interest in such a Loan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85"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Letter of Credit</w:t>
      </w:r>
      <w:r>
        <w:rPr>
          <w:rFonts w:ascii="Times New Roman" w:cs="Times New Roman" w:eastAsia="Times New Roman" w:hAnsi="Times New Roman"/>
          <w:sz w:val="19"/>
          <w:szCs w:val="19"/>
          <w:color w:val="auto"/>
        </w:rPr>
        <w:t>” means each letter of credit issued prior to the Effective Date by a Person that shall be an Issuing Bank and listed on Schedule 2.06.</w:t>
      </w:r>
    </w:p>
    <w:p>
      <w:pPr>
        <w:spacing w:after="0" w:line="164"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2024 Convertible Notes</w:t>
      </w:r>
      <w:r>
        <w:rPr>
          <w:rFonts w:ascii="Times New Roman" w:cs="Times New Roman" w:eastAsia="Times New Roman" w:hAnsi="Times New Roman"/>
          <w:sz w:val="19"/>
          <w:szCs w:val="19"/>
          <w:b w:val="1"/>
          <w:bCs w:val="1"/>
          <w:color w:val="FF0000"/>
          <w:strike w:val="1"/>
        </w:rPr>
        <w:t>” means the 0.25% convertible senior notes due 2024 issued by Zynga in an aggregate principal amount of $690,000,000.</w:t>
      </w:r>
    </w:p>
    <w:p>
      <w:pPr>
        <w:spacing w:after="0" w:line="13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2026 Convertible Notes</w:t>
      </w:r>
      <w:r>
        <w:rPr>
          <w:rFonts w:ascii="Times New Roman" w:cs="Times New Roman" w:eastAsia="Times New Roman" w:hAnsi="Times New Roman"/>
          <w:sz w:val="19"/>
          <w:szCs w:val="19"/>
          <w:b w:val="1"/>
          <w:bCs w:val="1"/>
          <w:color w:val="FF0000"/>
          <w:strike w:val="1"/>
        </w:rPr>
        <w:t>” means the 0.00% convertible senior notes due 2026 issued by Zynga in an aggregate principal amount of $874,500,000.</w:t>
      </w:r>
    </w:p>
    <w:p>
      <w:pPr>
        <w:spacing w:after="0" w:line="135" w:lineRule="exact"/>
        <w:rPr>
          <w:sz w:val="20"/>
          <w:szCs w:val="20"/>
          <w:color w:val="auto"/>
        </w:rPr>
      </w:pPr>
    </w:p>
    <w:p>
      <w:pPr>
        <w:jc w:val="both"/>
        <w:ind w:firstLine="1238"/>
        <w:spacing w:after="0" w:line="271"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Borrower Credit Agreement</w:t>
      </w:r>
      <w:r>
        <w:rPr>
          <w:rFonts w:ascii="Times New Roman" w:cs="Times New Roman" w:eastAsia="Times New Roman" w:hAnsi="Times New Roman"/>
          <w:sz w:val="19"/>
          <w:szCs w:val="19"/>
          <w:b w:val="1"/>
          <w:bCs w:val="1"/>
          <w:color w:val="FF0000"/>
          <w:strike w:val="1"/>
        </w:rPr>
        <w:t>” means that certain Credit Agreement, dated as of February 8, 2019, by and among the Borrower, the lenders party thereto and Wells Fargo Bank, National Association, as administrative agent, as amended, modified, supplemented or restated prior to the date hereof.</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Maturity Date</w:t>
      </w:r>
      <w:r>
        <w:rPr>
          <w:rFonts w:ascii="Times New Roman" w:cs="Times New Roman" w:eastAsia="Times New Roman" w:hAnsi="Times New Roman"/>
          <w:sz w:val="19"/>
          <w:szCs w:val="19"/>
          <w:color w:val="auto"/>
        </w:rPr>
        <w:t>” has the meaning assigned to such term in Section 2.23(a).</w:t>
      </w:r>
    </w:p>
    <w:p>
      <w:pPr>
        <w:spacing w:after="0" w:line="216"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Capped Calls</w:t>
      </w:r>
      <w:r>
        <w:rPr>
          <w:rFonts w:ascii="Times New Roman" w:cs="Times New Roman" w:eastAsia="Times New Roman" w:hAnsi="Times New Roman"/>
          <w:sz w:val="19"/>
          <w:szCs w:val="19"/>
          <w:b w:val="1"/>
          <w:bCs w:val="1"/>
          <w:color w:val="FF0000"/>
          <w:strike w:val="1"/>
        </w:rPr>
        <w:t>” means (x) the privately-negotiated capped call options among Zynga and certain swap counterparties with respect to the Existing 2024 Convertible Notes and (y) the privately-negotiated capped call options among Zynga and certain swap counterparties with respect to the Existing 2026 Convertible Notes.</w:t>
      </w:r>
    </w:p>
    <w:p>
      <w:pPr>
        <w:spacing w:after="0" w:line="169"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Credit Agreement</w:t>
      </w:r>
      <w:r>
        <w:rPr>
          <w:rFonts w:ascii="Times New Roman" w:cs="Times New Roman" w:eastAsia="Times New Roman" w:hAnsi="Times New Roman"/>
          <w:sz w:val="19"/>
          <w:szCs w:val="19"/>
          <w:b w:val="1"/>
          <w:bCs w:val="1"/>
          <w:color w:val="FF0000"/>
          <w:strike w:val="1"/>
        </w:rPr>
        <w:t>” means that certain Credit Agreement, dated as of December 11, 2020, by and among Zynga, the guarantors party thereto, the lenders party thereto and Bank of America, N.A., as administrative agent, as amended, modified, supplemented or restated prior to the date hereof.</w:t>
      </w:r>
    </w:p>
    <w:p>
      <w:pPr>
        <w:spacing w:after="0" w:line="1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Notes</w:t>
      </w:r>
      <w:r>
        <w:rPr>
          <w:rFonts w:ascii="Times New Roman" w:cs="Times New Roman" w:eastAsia="Times New Roman" w:hAnsi="Times New Roman"/>
          <w:sz w:val="19"/>
          <w:szCs w:val="19"/>
          <w:b w:val="1"/>
          <w:bCs w:val="1"/>
          <w:color w:val="FF0000"/>
          <w:strike w:val="1"/>
        </w:rPr>
        <w:t>” means the Existing 2024 Convertible Notes and the Existing 2026 Convertible Notes.</w:t>
      </w:r>
    </w:p>
    <w:p>
      <w:pPr>
        <w:spacing w:after="0" w:line="220"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Notes Fundamental Change Conversion</w:t>
      </w:r>
      <w:r>
        <w:rPr>
          <w:rFonts w:ascii="Times New Roman" w:cs="Times New Roman" w:eastAsia="Times New Roman" w:hAnsi="Times New Roman"/>
          <w:sz w:val="19"/>
          <w:szCs w:val="19"/>
          <w:b w:val="1"/>
          <w:bCs w:val="1"/>
          <w:color w:val="FF0000"/>
          <w:strike w:val="1"/>
        </w:rPr>
        <w:t>” means any conversion of the Existing Zynga Notes by the respective holders thereof in connection with the Combination, together with any actions taken by Zynga as are necessary to effectuate the conversion into cash, shares of common stock of the Borrower, or such combination of cash and common stock of the Borrower, including any actions necessary to effectuate a corresponding termination of the Existing Zynga Capped Calls with respect to such conversion, in accordance with the indentures governing such series of Existing Zynga Notes and the letter agreements and other definitive documentation governing such Existing Zynga Capped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xxiii</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2"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Notes Fundamental Change Repurchase</w:t>
      </w:r>
      <w:r>
        <w:rPr>
          <w:rFonts w:ascii="Times New Roman" w:cs="Times New Roman" w:eastAsia="Times New Roman" w:hAnsi="Times New Roman"/>
          <w:sz w:val="19"/>
          <w:szCs w:val="19"/>
          <w:b w:val="1"/>
          <w:bCs w:val="1"/>
          <w:color w:val="FF0000"/>
          <w:strike w:val="1"/>
        </w:rPr>
        <w:t>” means the repurchase by Zynga, upon the receipt of any Fundamental Change Repurchase Notice (as defined in the indentures for each series of Existing Zynga Notes) by Zynga from holders of any series of Existing Zynga Notes in connection with the Combination, of such Existing Zynga Notes from the respective holders thereof in accordance with the terms and conditions of the indentures governing such series of Existing Zynga Notes.</w:t>
      </w:r>
    </w:p>
    <w:p>
      <w:pPr>
        <w:spacing w:after="0" w:line="171"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Notes Fundamental Change Settlement</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u w:val="single" w:color="auto"/>
          <w:color w:val="008000"/>
          <w:strike w:val="1"/>
        </w:rPr>
        <w:t>Date</w:t>
      </w:r>
      <w:r>
        <w:rPr>
          <w:rFonts w:ascii="Times New Roman" w:cs="Times New Roman" w:eastAsia="Times New Roman" w:hAnsi="Times New Roman"/>
          <w:sz w:val="19"/>
          <w:szCs w:val="19"/>
          <w:color w:val="008000"/>
          <w:strike w:val="1"/>
        </w:rPr>
        <w:t>” has the meaning assigned to such term in</w:t>
      </w:r>
      <w:r>
        <w:rPr>
          <w:rFonts w:ascii="Times New Roman" w:cs="Times New Roman" w:eastAsia="Times New Roman" w:hAnsi="Times New Roman"/>
          <w:sz w:val="19"/>
          <w:szCs w:val="19"/>
          <w:b w:val="1"/>
          <w:bCs w:val="1"/>
          <w:color w:val="FF0000"/>
          <w:strike w:val="1"/>
        </w:rPr>
        <w:t xml:space="preserve"> the definition of “Existing Zynga Notes Refinancing”.</w:t>
      </w:r>
    </w:p>
    <w:p>
      <w:pPr>
        <w:spacing w:after="0" w:line="16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Existing Zynga Notes Refinancing</w:t>
      </w:r>
      <w:r>
        <w:rPr>
          <w:rFonts w:ascii="Times New Roman" w:cs="Times New Roman" w:eastAsia="Times New Roman" w:hAnsi="Times New Roman"/>
          <w:sz w:val="19"/>
          <w:szCs w:val="19"/>
          <w:b w:val="1"/>
          <w:bCs w:val="1"/>
          <w:color w:val="FF0000"/>
          <w:strike w:val="1"/>
        </w:rPr>
        <w:t>” means the payment by the Borrower of any cash consideration required in connection with (i) an exercise of any conversion with respect to the Existing Zynga Notes and any corresponding termination of the Existing Zynga Capped Calls (including, to the extent necessary, any additional cash consideration required to be delivered to holders of the Existing Zynga Notes with respect to a Make-Whole Fundamental Change (as defined in the indentures for each series of Existing Zynga Notes) or to swap counterparties of the Existing Zynga Capped Calls for any costs (including contingent costs) incurred in connection with any termination of the Existing Zynga Capped Calls), in each case, in connection with an Existing Zynga Notes Fundamental Change Conversion of the Existing Zynga Notes and, if applicable, termination of the Existing Zynga Capped Calls, and/or (ii) any repurchase made pursuant to a Fundamental Change Repurchase Notice (as defined in the indentures for each series of Existing Zynga Notes), in each case, no later than the date set forth in the indenture for each series of Existing Zynga Notes (each such date, the “</w:t>
      </w:r>
      <w:r>
        <w:rPr>
          <w:rFonts w:ascii="Times New Roman" w:cs="Times New Roman" w:eastAsia="Times New Roman" w:hAnsi="Times New Roman"/>
          <w:sz w:val="19"/>
          <w:szCs w:val="19"/>
          <w:b w:val="1"/>
          <w:bCs w:val="1"/>
          <w:u w:val="single" w:color="auto"/>
          <w:color w:val="FF0000"/>
          <w:strike w:val="1"/>
        </w:rPr>
        <w:t>Existing Zynga Notes</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b w:val="1"/>
          <w:bCs w:val="1"/>
          <w:u w:val="single" w:color="auto"/>
          <w:color w:val="FF0000"/>
          <w:strike w:val="1"/>
        </w:rPr>
        <w:t>Fundamental Change Settlement Date</w:t>
      </w:r>
      <w:r>
        <w:rPr>
          <w:rFonts w:ascii="Times New Roman" w:cs="Times New Roman" w:eastAsia="Times New Roman" w:hAnsi="Times New Roman"/>
          <w:sz w:val="19"/>
          <w:szCs w:val="19"/>
          <w:b w:val="1"/>
          <w:bCs w:val="1"/>
          <w:color w:val="FF0000"/>
          <w:strike w:val="1"/>
        </w:rPr>
        <w:t>”) (it being understood that the Existing Zynga Notes Fundamental Change Settlement Date may occur after the Effective Date and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-227330</wp:posOffset>
            </wp:positionV>
            <wp:extent cx="7134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Lender</w:t>
      </w:r>
      <w:r>
        <w:rPr>
          <w:rFonts w:ascii="Times New Roman" w:cs="Times New Roman" w:eastAsia="Times New Roman" w:hAnsi="Times New Roman"/>
          <w:sz w:val="19"/>
          <w:szCs w:val="19"/>
          <w:color w:val="auto"/>
        </w:rPr>
        <w:t>” has the meaning assigned to such term in Section 2.23(b)(ii).</w:t>
      </w:r>
    </w:p>
    <w:p>
      <w:pPr>
        <w:spacing w:after="0" w:line="220"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 Request</w:t>
      </w:r>
      <w:r>
        <w:rPr>
          <w:rFonts w:ascii="Times New Roman" w:cs="Times New Roman" w:eastAsia="Times New Roman" w:hAnsi="Times New Roman"/>
          <w:sz w:val="19"/>
          <w:szCs w:val="19"/>
          <w:color w:val="auto"/>
        </w:rPr>
        <w:t>” means a written request from the Borrower to the Administrative Agent requesting an extension of the Maturity Date pursuant to Section 2.23.</w:t>
      </w:r>
    </w:p>
    <w:p>
      <w:pPr>
        <w:spacing w:after="0" w:line="14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66"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Federal Funds Effective Rate as so determined would be less than zero, such rate shall be deemed to be zero for the purposes of this Agreement.</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Reserve Board</w:t>
      </w:r>
      <w:r>
        <w:rPr>
          <w:rFonts w:ascii="Times New Roman" w:cs="Times New Roman" w:eastAsia="Times New Roman" w:hAnsi="Times New Roman"/>
          <w:sz w:val="19"/>
          <w:szCs w:val="19"/>
          <w:color w:val="auto"/>
        </w:rPr>
        <w:t>” means the Board of Governors of the Federal Reserve System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xxiv</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 the Borrower.</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Financials</w:t>
      </w:r>
      <w:r>
        <w:rPr>
          <w:rFonts w:ascii="Times New Roman" w:cs="Times New Roman" w:eastAsia="Times New Roman" w:hAnsi="Times New Roman"/>
          <w:sz w:val="19"/>
          <w:szCs w:val="19"/>
          <w:color w:val="auto"/>
        </w:rPr>
        <w:t>” means the annual or quarterly financial statements, and accompanying certificates and other documents, of the Borrower and its Subsidiaries required to be delivered pursuant to Section 5.01(a) or 5.01(b).</w:t>
      </w:r>
    </w:p>
    <w:p>
      <w:pPr>
        <w:spacing w:after="0" w:line="168"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Lease Obligations</w:t>
      </w:r>
      <w:r>
        <w:rPr>
          <w:rFonts w:ascii="Times New Roman" w:cs="Times New Roman" w:eastAsia="Times New Roman" w:hAnsi="Times New Roman"/>
          <w:sz w:val="19"/>
          <w:szCs w:val="19"/>
          <w:color w:val="auto"/>
        </w:rPr>
        <w:t>” of any Person means, an obligation that is required to be accounted for as a financing or capital lease (and, for the avoidance of doubt, not an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66"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xml:space="preserve">” means the benchmark rate floor, if any, provided in this Agreement initially (as of the execution of this Agreement, the modification, amendment or renewal of this Agreement or otherwise) with respect to the Adjusted Term SOFR Rate, the Adjusted Term CORRA Rate, the Adjusted EURIBOR Rate, each Adjusted Daily Simple RFR or the Central Bank Rate, as applicable. For the avoidance of doubt the </w:t>
      </w:r>
      <w:r>
        <w:rPr>
          <w:rFonts w:ascii="Times New Roman" w:cs="Times New Roman" w:eastAsia="Times New Roman" w:hAnsi="Times New Roman"/>
          <w:sz w:val="19"/>
          <w:szCs w:val="19"/>
          <w:b w:val="1"/>
          <w:bCs w:val="1"/>
          <w:color w:val="FF0000"/>
          <w:strike w:val="1"/>
        </w:rPr>
        <w:t>initial</w:t>
      </w:r>
      <w:r>
        <w:rPr>
          <w:rFonts w:ascii="Times New Roman" w:cs="Times New Roman" w:eastAsia="Times New Roman" w:hAnsi="Times New Roman"/>
          <w:sz w:val="19"/>
          <w:szCs w:val="19"/>
          <w:color w:val="auto"/>
        </w:rPr>
        <w:t xml:space="preserve"> Floor for each of the Adjusted Term SOFR Rate, the Adjusted Term CORRA Rate, the Adjusted EURIBOR Rate, each Adjusted Daily Simple RFR and the Central Bank Rate shall be 0.00%.</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Currencies</w:t>
      </w:r>
      <w:r>
        <w:rPr>
          <w:rFonts w:ascii="Times New Roman" w:cs="Times New Roman" w:eastAsia="Times New Roman" w:hAnsi="Times New Roman"/>
          <w:sz w:val="19"/>
          <w:szCs w:val="19"/>
          <w:color w:val="auto"/>
        </w:rPr>
        <w:t>” means Agreed Currencies other than Dollars.</w:t>
      </w:r>
    </w:p>
    <w:p>
      <w:pPr>
        <w:spacing w:after="0" w:line="22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LC Exposure</w:t>
      </w:r>
      <w:r>
        <w:rPr>
          <w:rFonts w:ascii="Times New Roman" w:cs="Times New Roman" w:eastAsia="Times New Roman" w:hAnsi="Times New Roman"/>
          <w:sz w:val="19"/>
          <w:szCs w:val="19"/>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Letter of Credit</w:t>
      </w:r>
      <w:r>
        <w:rPr>
          <w:rFonts w:ascii="Times New Roman" w:cs="Times New Roman" w:eastAsia="Times New Roman" w:hAnsi="Times New Roman"/>
          <w:sz w:val="19"/>
          <w:szCs w:val="19"/>
          <w:color w:val="auto"/>
        </w:rPr>
        <w:t>” means a Letter of Credit denominated in a Foreign Currency.</w:t>
      </w:r>
    </w:p>
    <w:p>
      <w:pPr>
        <w:spacing w:after="0" w:line="207"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Payment Office</w:t>
      </w:r>
      <w:r>
        <w:rPr>
          <w:rFonts w:ascii="Times New Roman" w:cs="Times New Roman" w:eastAsia="Times New Roman" w:hAnsi="Times New Roman"/>
          <w:sz w:val="19"/>
          <w:szCs w:val="19"/>
          <w:color w:val="auto"/>
        </w:rPr>
        <w:t>” of the Administrative Agent shall mean, for each Foreign Currency, the office, branch, affiliate or correspondent bank of the Administrative Agent for such currency as specified from time to time by the Administrative Agent to the Borrower and each Lender.</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Sublimit</w:t>
      </w:r>
      <w:r>
        <w:rPr>
          <w:rFonts w:ascii="Times New Roman" w:cs="Times New Roman" w:eastAsia="Times New Roman" w:hAnsi="Times New Roman"/>
          <w:sz w:val="19"/>
          <w:szCs w:val="19"/>
          <w:color w:val="auto"/>
        </w:rPr>
        <w:t>” means an amount equal to the lesser of (a) $</w:t>
      </w:r>
      <w:r>
        <w:rPr>
          <w:rFonts w:ascii="Times New Roman" w:cs="Times New Roman" w:eastAsia="Times New Roman" w:hAnsi="Times New Roman"/>
          <w:sz w:val="19"/>
          <w:szCs w:val="19"/>
          <w:b w:val="1"/>
          <w:bCs w:val="1"/>
          <w:color w:val="FF0000"/>
          <w:strike w:val="1"/>
        </w:rPr>
        <w:t>100,000,000</w:t>
      </w:r>
      <w:r>
        <w:rPr>
          <w:rFonts w:ascii="Times New Roman" w:cs="Times New Roman" w:eastAsia="Times New Roman" w:hAnsi="Times New Roman"/>
          <w:sz w:val="19"/>
          <w:szCs w:val="19"/>
          <w:b w:val="1"/>
          <w:bCs w:val="1"/>
          <w:u w:val="single" w:color="auto"/>
          <w:color w:val="0000FF"/>
        </w:rPr>
        <w:t>200,000,000</w:t>
      </w:r>
      <w:r>
        <w:rPr>
          <w:rFonts w:ascii="Times New Roman" w:cs="Times New Roman" w:eastAsia="Times New Roman" w:hAnsi="Times New Roman"/>
          <w:sz w:val="19"/>
          <w:szCs w:val="19"/>
          <w:color w:val="auto"/>
        </w:rPr>
        <w:t xml:space="preserve"> and (b) the total amount of the Commitments. The Foreign Currency Sublimit is part of, and not in addition to, the Commitments hereunder.</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 Lender that is not a U.S. Person.</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 as in effect from time to time.</w:t>
      </w:r>
    </w:p>
    <w:p>
      <w:pPr>
        <w:spacing w:after="0" w:line="22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6"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“Guarantee” shall not include endorsements for collection or deposit in the ordinary course of business or any indemnification obligations entered into in the ordinary course of business. The amount of any Guarantee shall be deemed to be the lower of (i) an amount equal to the stated or determined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determined by such Person in good faith.</w:t>
      </w:r>
    </w:p>
    <w:p>
      <w:pPr>
        <w:spacing w:after="0" w:line="192"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friable asbestos, polychlorinated biphenyls, per- or polyfluoroalkyl substances, radon gas, infectious or medical wastes and all other substances or wastes of any nature regulated pursuant to any Environmental Law.</w:t>
      </w:r>
    </w:p>
    <w:p>
      <w:pPr>
        <w:spacing w:after="0" w:line="1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has the meaning assigned to such term in Section 2.20.</w:t>
      </w:r>
    </w:p>
    <w:p>
      <w:pPr>
        <w:spacing w:after="0" w:line="220"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accounts payable incurred in the ordinary course of business and (ii) obligations which are being contested in good faith by appropriate proceedings and for which adequate reserves have been set aside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Financing Lease Obligations of such Person, (h) all obligations, contingent or otherwise, of such Person as an account party in respect of letters of credit and letters of guaranty, (i) all obligations, contingent or otherwise, of such Person in respect of bankers’ acceptances and (j) all obligations of such Person under Sale and Leaseback Transactions. Notwithstanding anything to the contrary in the foregoing, in connection with any acquisition by the Borrower or any Subsidiary permitted hereunder (or any sale, transfer or other disposition by the Borrower or any Subsidiary permitted hereunder), the term “Indebtedness” shall not include contingent consideration to which the seller in such acquisition (or the buyer in such sale, transfer or other disposition, as the case may be) may become entitled or contingent indemnity obligations that may be owed to such seller (or buyer, if applicable)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xxvi</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respect thereof.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and for the avoidance of doubt, obligations arising from Swap Agreements, including Permitted Bond Hedges, shall not be considered Indebtedness. Notwithstanding the foregoing, Indebtedness shall not include Non-Financing Lease Obligations or other obligations under or in respect of operating leases or Sale and Leaseback Transactions (except resulting in Financing Lease Obligations).</w:t>
      </w:r>
    </w:p>
    <w:p>
      <w:pPr>
        <w:spacing w:after="0" w:line="185" w:lineRule="exact"/>
        <w:rPr>
          <w:sz w:val="20"/>
          <w:szCs w:val="20"/>
          <w:color w:val="auto"/>
        </w:rPr>
      </w:pPr>
    </w:p>
    <w:p>
      <w:pPr>
        <w:jc w:val="both"/>
        <w:ind w:firstLine="1238"/>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clause (a) hereof, Other Taxes.</w:t>
      </w:r>
    </w:p>
    <w:p>
      <w:pPr>
        <w:spacing w:after="0" w:line="1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has the meaning assigned to such term in Section 9.04(b).</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Borrowing in accordance with Section 2.08 in the form attached hereto as </w:t>
      </w:r>
      <w:r>
        <w:rPr>
          <w:rFonts w:ascii="Times New Roman" w:cs="Times New Roman" w:eastAsia="Times New Roman" w:hAnsi="Times New Roman"/>
          <w:sz w:val="19"/>
          <w:szCs w:val="19"/>
          <w:u w:val="single" w:color="auto"/>
          <w:color w:val="auto"/>
        </w:rPr>
        <w:t>Exhibit G-2</w:t>
      </w:r>
      <w:r>
        <w:rPr>
          <w:rFonts w:ascii="Times New Roman" w:cs="Times New Roman" w:eastAsia="Times New Roman" w:hAnsi="Times New Roman"/>
          <w:sz w:val="19"/>
          <w:szCs w:val="19"/>
          <w:color w:val="auto"/>
        </w:rPr>
        <w:t xml:space="preserve"> or any other form approved by the Administrative Agent.</w:t>
      </w:r>
    </w:p>
    <w:p>
      <w:pPr>
        <w:spacing w:after="0" w:line="168"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the last day of each March, June, September and December and the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w:t>
      </w:r>
    </w:p>
    <w:p>
      <w:pPr>
        <w:spacing w:after="0" w:line="2" w:lineRule="exact"/>
        <w:rPr>
          <w:sz w:val="20"/>
          <w:szCs w:val="20"/>
          <w:color w:val="auto"/>
        </w:rPr>
      </w:pPr>
    </w:p>
    <w:p>
      <w:pPr>
        <w:jc w:val="both"/>
        <w:ind w:firstLine="3"/>
        <w:spacing w:after="0" w:line="276" w:lineRule="auto"/>
        <w:tabs>
          <w:tab w:leader="none" w:pos="2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5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and provided that with respect to Loans denominated in Canadian Dollars, an Interest Period of six months shall not be available), as the Borrower may elect;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United States Internal Revenue Service.</w:t>
      </w:r>
    </w:p>
    <w:p>
      <w:pPr>
        <w:spacing w:after="0" w:line="203"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means (i) each of JPMorgan Chase Bank, N.A.</w:t>
      </w: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and</w:t>
      </w:r>
      <w:r>
        <w:rPr>
          <w:rFonts w:ascii="Times New Roman" w:cs="Times New Roman" w:eastAsia="Times New Roman" w:hAnsi="Times New Roman"/>
          <w:sz w:val="19"/>
          <w:szCs w:val="19"/>
          <w:color w:val="auto"/>
        </w:rPr>
        <w:t xml:space="preserve"> Wells Fargo Bank, National Association</w:t>
      </w:r>
      <w:r>
        <w:rPr>
          <w:rFonts w:ascii="Times New Roman" w:cs="Times New Roman" w:eastAsia="Times New Roman" w:hAnsi="Times New Roman"/>
          <w:sz w:val="19"/>
          <w:szCs w:val="19"/>
          <w:b w:val="1"/>
          <w:bCs w:val="1"/>
          <w:color w:val="FF0000"/>
          <w:strike w:val="1"/>
        </w:rPr>
        <w:t>, Bank of America,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N.A., and BNP Paribas</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and (ii) any other Lender designated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xxvii</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Borrower as an “Issuing Bank” hereunder that has agreed in its sole discretion to such designation (and is reasonably acceptable to the Administrative Agent) with respect to any Letter of Credit requested to be issued hereunder,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Collateral Account</w:t>
      </w:r>
      <w:r>
        <w:rPr>
          <w:rFonts w:ascii="Times New Roman" w:cs="Times New Roman" w:eastAsia="Times New Roman" w:hAnsi="Times New Roman"/>
          <w:sz w:val="19"/>
          <w:szCs w:val="19"/>
          <w:color w:val="auto"/>
        </w:rPr>
        <w:t>” has the meaning assigned to such term in Section 2.06(j).</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means a payment made by an Issuing Bank pursuant to a Letter of Credit.</w:t>
      </w:r>
    </w:p>
    <w:p>
      <w:pPr>
        <w:spacing w:after="0" w:line="22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Presentation</w:t>
      </w:r>
      <w:r>
        <w:rPr>
          <w:rFonts w:ascii="Times New Roman" w:cs="Times New Roman" w:eastAsia="Times New Roman" w:hAnsi="Times New Roman"/>
          <w:sz w:val="19"/>
          <w:szCs w:val="19"/>
          <w:color w:val="auto"/>
        </w:rPr>
        <w:t>” means the Lender Presentation dated January 2022 relating to the Borrower and the Transactions.</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Lender-Related Person</w:t>
      </w:r>
      <w:r>
        <w:rPr>
          <w:rFonts w:ascii="Times New Roman" w:cs="Times New Roman" w:eastAsia="Times New Roman" w:hAnsi="Times New Roman"/>
          <w:sz w:val="19"/>
          <w:szCs w:val="19"/>
          <w:color w:val="auto"/>
        </w:rPr>
        <w:t>” has the meaning assigned to it in Section 9.03(b).</w:t>
      </w:r>
    </w:p>
    <w:p>
      <w:pPr>
        <w:spacing w:after="0" w:line="220"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and any other Person that shall have become a Lender hereunder pursuant to Section 2.20 or 2.23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each Issuing Bank.</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letter of credit issued pursuant to this Agreement and shall include each Existing Letter of Credit.</w:t>
      </w:r>
    </w:p>
    <w:p>
      <w:pPr>
        <w:spacing w:after="0" w:line="220"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Commitment</w:t>
      </w:r>
      <w:r>
        <w:rPr>
          <w:rFonts w:ascii="Times New Roman" w:cs="Times New Roman" w:eastAsia="Times New Roman" w:hAnsi="Times New Roman"/>
          <w:sz w:val="19"/>
          <w:szCs w:val="19"/>
          <w:color w:val="auto"/>
        </w:rPr>
        <w:t>” means, with respect to each Issuing Bank, the commitment of such Issuing Bank to issue Letters of Credit hereunder. The initial amount of each Issuing Bank’s Letter of Credit Commitment is set forth on Schedule 2.01, or if an Issuing Bank has entered into an Assignment and Assumption or has otherwise assumed a Letter of Credit Commitment after the Effective Date, the amount set forth for such Issuing Bank as its Letter of Credit Commitment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xxviii</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Register maintained by the Administrative Agent. The Letter of Credit Commitment of an Issuing Bank may be modified from time to time by agreement between such Issuing Bank and the Borrower, and notified to the Administrative Agent. As of the Effective Date, the aggregate Letter of Credit Commitment is $100,000,000.</w:t>
      </w:r>
    </w:p>
    <w:p>
      <w:pPr>
        <w:spacing w:after="0" w:line="17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Leverage Ratio</w:t>
      </w:r>
      <w:r>
        <w:rPr>
          <w:rFonts w:ascii="Times New Roman" w:cs="Times New Roman" w:eastAsia="Times New Roman" w:hAnsi="Times New Roman"/>
          <w:sz w:val="19"/>
          <w:szCs w:val="19"/>
          <w:color w:val="auto"/>
        </w:rPr>
        <w:t>” means the ratio, determined as of the end of each of the Borrower’s fiscal quarters, of (i) Consolidated Total Indebtedness to (ii) Consolidated Adjusted EBITDA for the period of four (4) consecutive fiscal quarters ending with the end of such fiscal quarter for which financial statements have been delivered pursuant to Section 5.01(a) or (b) (or, if prior to the date of the delivery of the first financial statements to be delivered pursuant to Section 5.01(a) or (b), the most recent financial statements referred to in Section 3.04(a)), all calculated for the Borrower and its Subsidiaries on a consolidated basis.</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means any losses, claims (including intraparty claims), demands, damages or liabilities of any kind.</w:t>
      </w:r>
    </w:p>
    <w:p>
      <w:pPr>
        <w:spacing w:after="0" w:line="220"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 Non-Financing Lease Obligation be deemed to be a Lien.</w:t>
      </w:r>
    </w:p>
    <w:p>
      <w:pPr>
        <w:spacing w:after="0" w:line="184" w:lineRule="exact"/>
        <w:rPr>
          <w:sz w:val="20"/>
          <w:szCs w:val="20"/>
          <w:color w:val="auto"/>
        </w:rPr>
      </w:pPr>
    </w:p>
    <w:p>
      <w:pPr>
        <w:jc w:val="both"/>
        <w:ind w:firstLine="1238"/>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any promissory notes issued pursuant to Section 2.10(e), any Letter of Credit applications and all other agreements, instruments, documents and certificates identified in Section 4.01 executed and delivered to, or in favor of, the Administrative Agent or any Lenders and including all other pledges, powers of attorney, consents, assignments, contracts, notices and letter of credit agreements now or hereafter executed by or on behalf of the Borrower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made by the Lenders to the Borrower pursuant to Section 2.01.</w:t>
      </w:r>
    </w:p>
    <w:p>
      <w:pPr>
        <w:spacing w:after="0" w:line="22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Local Time</w:t>
      </w:r>
      <w:r>
        <w:rPr>
          <w:rFonts w:ascii="Times New Roman" w:cs="Times New Roman" w:eastAsia="Times New Roman" w:hAnsi="Times New Roman"/>
          <w:sz w:val="19"/>
          <w:szCs w:val="19"/>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7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operations or financial condition of the Borrower and the Subsidiaries taken as a whole, (b) the ability of the Borrower to perform any of its payment obligations under this Agreement or (c) the validity or enforceability of this Agreement or any and all other Loan Documents or the rights or remedies of the Administrative Agent and the Lenders thereunder.</w:t>
      </w:r>
    </w:p>
    <w:p>
      <w:pPr>
        <w:spacing w:after="0" w:line="184"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Domestic Subsidiary</w:t>
      </w:r>
      <w:r>
        <w:rPr>
          <w:rFonts w:ascii="Times New Roman" w:cs="Times New Roman" w:eastAsia="Times New Roman" w:hAnsi="Times New Roman"/>
          <w:sz w:val="19"/>
          <w:szCs w:val="19"/>
          <w:color w:val="auto"/>
        </w:rPr>
        <w:t>” means each Domestic Subsidiary (i) which, as of the most recent fiscal quarter of the Borrower, for the period of four consecutive fiscal quarters then ended, for which financial statements have been delivered pursuant to Section 5.01(a) or (b) (or, if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xxix</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date of the delivery of the first financial statements to be delivered pursuant to Section 5.01(a) or (b), the most recent financial statements referred to in Section 3.04(a)), contributed greater than five percent (5%) of consolidated revenue (after giving effect to intercompany eliminations) for such period, (ii) which contributed greater than five percent (5%) of Consolidated Total Assets (after giving effect to intercompany eliminations) as of such date or (iii) which is designated by the Borrower as a Material Domestic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any time the aggregate amount of consolidated revenues or Consolidated Total Assets attributable to all Domestic Subsidiaries that are not Material Domestic Subsidiaries exceeds fifteen percent (15%) of consolidated revenues (after giving effect to intercompany eliminations) for any such period or fifteen percent (15%) of Consolidated Total Assets (after giving effect to intercompany eliminations) as of the end of any such fiscal quarter, the Borrower (or, in the event the Borrower has failed to do so within ten (10) days, the Administrative Agent) shall designate sufficient Domestic Subsidiaries as “Material Domestic Subsidiaries” to eliminate such excess, and such designated Subsidiaries shall for all purposes of this Agreement constitute Material Domestic Subsidiaries.</w:t>
      </w:r>
    </w:p>
    <w:p>
      <w:pPr>
        <w:spacing w:after="0" w:line="172"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Foreign Subsidiary</w:t>
      </w:r>
      <w:r>
        <w:rPr>
          <w:rFonts w:ascii="Times New Roman" w:cs="Times New Roman" w:eastAsia="Times New Roman" w:hAnsi="Times New Roman"/>
          <w:sz w:val="19"/>
          <w:szCs w:val="19"/>
          <w:color w:val="auto"/>
        </w:rPr>
        <w:t>” means each Subsidiary that is not a Domestic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ten percent (10%) of consolidated revenue (after giving effect to intercompany eliminations) for such period or (ii) which contributed greater than ten percent (10%) of Consolidated Total Assets (after giving effect to intercompany eliminations) as of such date.</w:t>
      </w:r>
    </w:p>
    <w:p>
      <w:pPr>
        <w:spacing w:after="0" w:line="185"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means Indebtedness (other than the Loans and Letters of Credit), or obligations in respect of one or more Swap Agreements, of any one or more of the Borrower and its Subsidiaries in an aggregate principal amount exceeding $200,000,000.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1"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xml:space="preserve">” means May </w:t>
      </w:r>
      <w:r>
        <w:rPr>
          <w:rFonts w:ascii="Times New Roman" w:cs="Times New Roman" w:eastAsia="Times New Roman" w:hAnsi="Times New Roman"/>
          <w:sz w:val="19"/>
          <w:szCs w:val="19"/>
          <w:b w:val="1"/>
          <w:bCs w:val="1"/>
          <w:color w:val="FF0000"/>
          <w:strike w:val="1"/>
        </w:rPr>
        <w:t>23</w:t>
      </w:r>
      <w:r>
        <w:rPr>
          <w:rFonts w:ascii="Times New Roman" w:cs="Times New Roman" w:eastAsia="Times New Roman" w:hAnsi="Times New Roman"/>
          <w:sz w:val="19"/>
          <w:szCs w:val="19"/>
          <w:b w:val="1"/>
          <w:bCs w:val="1"/>
          <w:u w:val="single" w:color="auto"/>
          <w:color w:val="0000FF"/>
        </w:rPr>
        <w:t>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2027</w:t>
      </w:r>
      <w:r>
        <w:rPr>
          <w:rFonts w:ascii="Times New Roman" w:cs="Times New Roman" w:eastAsia="Times New Roman" w:hAnsi="Times New Roman"/>
          <w:sz w:val="19"/>
          <w:szCs w:val="19"/>
          <w:b w:val="1"/>
          <w:bCs w:val="1"/>
          <w:u w:val="single" w:color="auto"/>
          <w:color w:val="0000FF"/>
        </w:rPr>
        <w:t>2030</w:t>
      </w:r>
      <w:r>
        <w:rPr>
          <w:rFonts w:ascii="Times New Roman" w:cs="Times New Roman" w:eastAsia="Times New Roman" w:hAnsi="Times New Roman"/>
          <w:sz w:val="19"/>
          <w:szCs w:val="19"/>
          <w:color w:val="auto"/>
        </w:rPr>
        <w:t xml:space="preserve">, as such date may be extended pursuant to Section 2.23;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in each case, if such date is not a Business Day, the Maturity Date shall be the next preceding Business Day.</w:t>
      </w:r>
    </w:p>
    <w:p>
      <w:pPr>
        <w:spacing w:after="0" w:line="160"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Merger Agreement</w:t>
      </w:r>
      <w:r>
        <w:rPr>
          <w:rFonts w:ascii="Times New Roman" w:cs="Times New Roman" w:eastAsia="Times New Roman" w:hAnsi="Times New Roman"/>
          <w:sz w:val="19"/>
          <w:szCs w:val="19"/>
          <w:b w:val="1"/>
          <w:bCs w:val="1"/>
          <w:color w:val="FF0000"/>
          <w:strike w:val="1"/>
        </w:rPr>
        <w:t>” means that certain Agreement and Plan of Merger, dated as of January 9, 2022 (including all schedules and exhibits thereto), by and among the Borrower, Zynga, Zebra MS I, Inc., a Delaware corporation, and Zebra MS II, Inc., a Delaware corporation (as amended by the First Amendment to the Agreement and Plan of Merger, dated as of March 10, 2022).</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u w:val="single" w:color="auto"/>
          <w:color w:val="0000FF"/>
        </w:rPr>
        <w:t>“Maximum Cash Netting Amount” means (i) until and including December 31, 2026, $2,000,000,000 and (ii) thereafter,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0000FF"/>
        </w:rPr>
        <w:t>$1,500,000,000.</w:t>
      </w:r>
    </w:p>
    <w:p>
      <w:pPr>
        <w:spacing w:after="0" w:line="20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Models</w:t>
      </w:r>
      <w:r>
        <w:rPr>
          <w:rFonts w:ascii="Times New Roman" w:cs="Times New Roman" w:eastAsia="Times New Roman" w:hAnsi="Times New Roman"/>
          <w:sz w:val="19"/>
          <w:szCs w:val="19"/>
          <w:color w:val="auto"/>
        </w:rPr>
        <w:t xml:space="preserve">” means each of the financial models prepared by JPMorgan Chase Bank, N.A. (or its Affiliates) on behalf of the Borrower in connection with </w:t>
      </w:r>
      <w:r>
        <w:rPr>
          <w:rFonts w:ascii="Times New Roman" w:cs="Times New Roman" w:eastAsia="Times New Roman" w:hAnsi="Times New Roman"/>
          <w:sz w:val="19"/>
          <w:szCs w:val="19"/>
          <w:b w:val="1"/>
          <w:bCs w:val="1"/>
          <w:color w:val="FF0000"/>
          <w:strike w:val="1"/>
        </w:rPr>
        <w:t>(i)</w:t>
      </w:r>
      <w:r>
        <w:rPr>
          <w:rFonts w:ascii="Times New Roman" w:cs="Times New Roman" w:eastAsia="Times New Roman" w:hAnsi="Times New Roman"/>
          <w:sz w:val="19"/>
          <w:szCs w:val="19"/>
          <w:color w:val="auto"/>
        </w:rPr>
        <w:t xml:space="preserve"> ratings agency presentations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-297180</wp:posOffset>
            </wp:positionV>
            <wp:extent cx="351790" cy="1308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35179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color w:val="auto"/>
        </w:rPr>
        <w:t xml:space="preserve">to each of S&amp;P and Moody’s </w:t>
      </w:r>
      <w:r>
        <w:rPr>
          <w:rFonts w:ascii="Times New Roman" w:cs="Times New Roman" w:eastAsia="Times New Roman" w:hAnsi="Times New Roman"/>
          <w:sz w:val="19"/>
          <w:szCs w:val="19"/>
          <w:b w:val="1"/>
          <w:bCs w:val="1"/>
          <w:color w:val="FF0000"/>
        </w:rPr>
        <w:t>and (ii) presentations to prospective investors delivered with respect to marketing the offering of the Senior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Notes</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-250190</wp:posOffset>
            </wp:positionV>
            <wp:extent cx="5690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a:extLst>
                        <a:ext uri="{28A0092B-C50C-407E-A947-70E740481C1C}"/>
                      </a:extLst>
                    </a:blip>
                    <a:srcRect/>
                    <a:stretch>
                      <a:fillRect/>
                    </a:stretch>
                  </pic:blipFill>
                  <pic:spPr bwMode="auto">
                    <a:xfrm>
                      <a:off x="0" y="0"/>
                      <a:ext cx="5690870" cy="8255"/>
                    </a:xfrm>
                    <a:prstGeom prst="rect">
                      <a:avLst/>
                    </a:prstGeom>
                    <a:noFill/>
                  </pic:spPr>
                </pic:pic>
              </a:graphicData>
            </a:graphic>
          </wp:anchor>
        </w:drawing>
      </w:r>
    </w:p>
    <w:p>
      <w:pPr>
        <w:spacing w:after="0" w:line="1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 ERISA.</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Non-Extending Lender</w:t>
      </w:r>
      <w:r>
        <w:rPr>
          <w:rFonts w:ascii="Times New Roman" w:cs="Times New Roman" w:eastAsia="Times New Roman" w:hAnsi="Times New Roman"/>
          <w:sz w:val="19"/>
          <w:szCs w:val="19"/>
          <w:color w:val="auto"/>
        </w:rPr>
        <w:t>” has the meaning assigned to such term in Section 2.23(a).</w:t>
      </w:r>
    </w:p>
    <w:p>
      <w:pPr>
        <w:spacing w:after="0" w:line="207"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Non-Financing Lease Obligation</w:t>
      </w:r>
      <w:r>
        <w:rPr>
          <w:rFonts w:ascii="Times New Roman" w:cs="Times New Roman" w:eastAsia="Times New Roman" w:hAnsi="Times New Roman"/>
          <w:sz w:val="19"/>
          <w:szCs w:val="19"/>
          <w:color w:val="auto"/>
        </w:rPr>
        <w:t>” means a lease obligation that is not required to be accounted for as a financing or capital lease on both the balance sheet and the income statement for financial reporting purposes in accordance with GAAP. For the avoidance of doubt (i) the accounting for any lease obligation under this Agreement shall be based on GAAP as in effect on December 15, 2018 and without giving effect to any subsequent changes in GAAP (or the required implementation of any previously promulgated changes in GAAP) relating to the treatment of a lease as an operating lease or capitalized lease and (ii) any operating lease of the Borrower or its Subsidiaries shall be considered a Non-Financing Lease Obligation.</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w:t>
      </w:r>
      <w:r>
        <w:rPr>
          <w:rFonts w:ascii="Times New Roman" w:cs="Times New Roman" w:eastAsia="Times New Roman" w:hAnsi="Times New Roman"/>
          <w:sz w:val="19"/>
          <w:szCs w:val="19"/>
          <w:color w:val="auto"/>
        </w:rPr>
        <w:t>” means the Federal Reserve Bank of New York.</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NYFRB’s Website</w:t>
      </w:r>
      <w:r>
        <w:rPr>
          <w:rFonts w:ascii="Times New Roman" w:cs="Times New Roman" w:eastAsia="Times New Roman" w:hAnsi="Times New Roman"/>
          <w:sz w:val="19"/>
          <w:szCs w:val="19"/>
          <w:color w:val="auto"/>
        </w:rPr>
        <w:t>” means the website of the NYFRB at http://www.newyorkfed.org, or any successor source.</w:t>
      </w:r>
    </w:p>
    <w:p>
      <w:pPr>
        <w:spacing w:after="0" w:line="220" w:lineRule="exact"/>
        <w:rPr>
          <w:sz w:val="20"/>
          <w:szCs w:val="20"/>
          <w:color w:val="auto"/>
        </w:rPr>
      </w:pPr>
    </w:p>
    <w:p>
      <w:pPr>
        <w:jc w:val="both"/>
        <w:ind w:firstLine="1238"/>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shall be less than zero, such rate shall be deemed to be zero for purposes of this Agreement.</w:t>
      </w:r>
    </w:p>
    <w:p>
      <w:pPr>
        <w:spacing w:after="0" w:line="168"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to the Lenders or any of their Affiliates under any Swap Agreement or any Banking Services Agreement or in respect of any of the Loans made or reimbursement or other obligations incurred for any of the Letters of Credit or other instruments at any time evidencing any thereof. Notwithstanding the foregoing, and for the avoidance of doubt, obligations arising from Permitted Bond Hedges and letter of credit facilities that are not under this Agreement shall not be considered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means Office of Foreign Assets Control of the United States Department of the Treasury.</w:t>
      </w:r>
    </w:p>
    <w:p>
      <w:pPr>
        <w:spacing w:after="0" w:line="220"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66"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0000FF"/>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60"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Bank Funding Rate</w:t>
      </w:r>
      <w:r>
        <w:rPr>
          <w:rFonts w:ascii="Times New Roman" w:cs="Times New Roman" w:eastAsia="Times New Roman" w:hAnsi="Times New Roman"/>
          <w:sz w:val="19"/>
          <w:szCs w:val="19"/>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9"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with respect to any Lender, any Person as to which such Lender is, directly or indirectly, a subsidiary.</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has the meaning assigned to such term in Section 9.04.</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has the meaning assigned to such term in Section 9.04(c).</w:t>
      </w:r>
    </w:p>
    <w:p>
      <w:pPr>
        <w:spacing w:after="0" w:line="207" w:lineRule="exact"/>
        <w:rPr>
          <w:sz w:val="20"/>
          <w:szCs w:val="20"/>
          <w:color w:val="auto"/>
        </w:rPr>
      </w:pPr>
    </w:p>
    <w:p>
      <w:pPr>
        <w:ind w:left="620"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Participating Member State</w:t>
      </w:r>
      <w:r>
        <w:rPr>
          <w:rFonts w:ascii="Times New Roman" w:cs="Times New Roman" w:eastAsia="Times New Roman" w:hAnsi="Times New Roman"/>
          <w:sz w:val="19"/>
          <w:szCs w:val="19"/>
          <w:color w:val="auto"/>
        </w:rPr>
        <w:t>” means any member state of the European Union that has the euro as its lawful currency in accordance with legislation of the European Union relating to Economic and Monetary Union.</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has the meaning assigned to it in Section 9.13.</w:t>
      </w:r>
    </w:p>
    <w:p>
      <w:pPr>
        <w:spacing w:after="0" w:line="1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has the meaning assigned to it in Section 8.06(c).</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has the meaning assigned to it in Section 8.06(c).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xxxii</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6"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referred to and defined in ERISA and any successor entity performing similar functions.</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Periodic Term CORRA Determination Day</w:t>
      </w:r>
      <w:r>
        <w:rPr>
          <w:rFonts w:ascii="Times New Roman" w:cs="Times New Roman" w:eastAsia="Times New Roman" w:hAnsi="Times New Roman"/>
          <w:sz w:val="19"/>
          <w:szCs w:val="19"/>
          <w:color w:val="auto"/>
        </w:rPr>
        <w:t>” has the meaning assigned to such term in the definition of “Term CORRA”.</w:t>
      </w:r>
    </w:p>
    <w:p>
      <w:pPr>
        <w:spacing w:after="0" w:line="220"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Bond Hedge</w:t>
      </w:r>
      <w:r>
        <w:rPr>
          <w:rFonts w:ascii="Times New Roman" w:cs="Times New Roman" w:eastAsia="Times New Roman" w:hAnsi="Times New Roman"/>
          <w:sz w:val="19"/>
          <w:szCs w:val="19"/>
          <w:color w:val="auto"/>
        </w:rPr>
        <w:t>” means any Swap Agreement that is settled (after payment of any premium or any prepayment thereunder) through the delivery of cash and/or of Equity Interests of the Borrower and is entered into in connection with any Convertible Debt Securities in customary form, the purpose of which is to mitigate dilution upon conversion of such Convertible Debt Securities (including, but not limited to, any bond hedge transaction, warrant transaction, or capped call transaction).</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Encumbrances</w:t>
      </w:r>
      <w:r>
        <w:rPr>
          <w:rFonts w:ascii="Times New Roman" w:cs="Times New Roman" w:eastAsia="Times New Roman" w:hAnsi="Times New Roman"/>
          <w:sz w:val="19"/>
          <w:szCs w:val="19"/>
          <w:color w:val="auto"/>
        </w:rPr>
        <w:t>” means:</w:t>
      </w:r>
    </w:p>
    <w:p>
      <w:pPr>
        <w:spacing w:after="0" w:line="220" w:lineRule="exact"/>
        <w:rPr>
          <w:sz w:val="20"/>
          <w:szCs w:val="20"/>
          <w:color w:val="auto"/>
        </w:rPr>
      </w:pPr>
    </w:p>
    <w:p>
      <w:pPr>
        <w:ind w:left="1500" w:hanging="259"/>
        <w:spacing w:after="0"/>
        <w:tabs>
          <w:tab w:leader="none" w:pos="15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imposed by law for Taxes that are not yet due or are being contested in compliance with Section 5.04;</w:t>
      </w:r>
    </w:p>
    <w:p>
      <w:pPr>
        <w:spacing w:after="0" w:line="219" w:lineRule="exact"/>
        <w:rPr>
          <w:rFonts w:ascii="Times New Roman" w:cs="Times New Roman" w:eastAsia="Times New Roman" w:hAnsi="Times New Roman"/>
          <w:sz w:val="19"/>
          <w:szCs w:val="19"/>
          <w:color w:val="auto"/>
        </w:rPr>
      </w:pPr>
    </w:p>
    <w:p>
      <w:pPr>
        <w:jc w:val="both"/>
        <w:ind w:firstLine="1241"/>
        <w:spacing w:after="0" w:line="262" w:lineRule="auto"/>
        <w:tabs>
          <w:tab w:leader="none" w:pos="151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carriers’, warehousemen’s, mechanics’, materialmen’s, repairmen’s, landlord’s and other like Liens imposed by law, arising in the ordinary course of business and securing obligations that are not overdue by more than sixty (60) days or are being contested in compliance with Section 5.04;</w:t>
      </w:r>
    </w:p>
    <w:p>
      <w:pPr>
        <w:spacing w:after="0" w:line="161" w:lineRule="exact"/>
        <w:rPr>
          <w:rFonts w:ascii="Times New Roman" w:cs="Times New Roman" w:eastAsia="Times New Roman" w:hAnsi="Times New Roman"/>
          <w:sz w:val="19"/>
          <w:szCs w:val="19"/>
          <w:color w:val="auto"/>
        </w:rPr>
      </w:pPr>
    </w:p>
    <w:p>
      <w:pPr>
        <w:ind w:firstLine="1241"/>
        <w:spacing w:after="0" w:line="283" w:lineRule="auto"/>
        <w:tabs>
          <w:tab w:leader="none" w:pos="153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deposits made in the ordinary course of business in compliance with workers’ compensation, unemployment insurance and other social security laws or regulations;</w:t>
      </w:r>
    </w:p>
    <w:p>
      <w:pPr>
        <w:spacing w:after="0" w:line="155" w:lineRule="exact"/>
        <w:rPr>
          <w:rFonts w:ascii="Times New Roman" w:cs="Times New Roman" w:eastAsia="Times New Roman" w:hAnsi="Times New Roman"/>
          <w:sz w:val="19"/>
          <w:szCs w:val="19"/>
          <w:color w:val="auto"/>
        </w:rPr>
      </w:pPr>
    </w:p>
    <w:p>
      <w:pPr>
        <w:ind w:firstLine="1241"/>
        <w:spacing w:after="0" w:line="269" w:lineRule="auto"/>
        <w:tabs>
          <w:tab w:leader="none" w:pos="151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judgment Liens in respect of judgments that do not constitute an Event of Default under clause (k) of Article VII;</w:t>
      </w:r>
    </w:p>
    <w:p>
      <w:pPr>
        <w:spacing w:after="0" w:line="206" w:lineRule="exact"/>
        <w:rPr>
          <w:rFonts w:ascii="Times New Roman" w:cs="Times New Roman" w:eastAsia="Times New Roman" w:hAnsi="Times New Roman"/>
          <w:sz w:val="19"/>
          <w:szCs w:val="19"/>
          <w:color w:val="auto"/>
        </w:rPr>
      </w:pPr>
    </w:p>
    <w:p>
      <w:pPr>
        <w:jc w:val="both"/>
        <w:ind w:firstLine="1241"/>
        <w:spacing w:after="0" w:line="269" w:lineRule="auto"/>
        <w:tabs>
          <w:tab w:leader="none" w:pos="150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54" w:lineRule="exact"/>
        <w:rPr>
          <w:rFonts w:ascii="Times New Roman" w:cs="Times New Roman" w:eastAsia="Times New Roman" w:hAnsi="Times New Roman"/>
          <w:sz w:val="19"/>
          <w:szCs w:val="19"/>
          <w:color w:val="auto"/>
        </w:rPr>
      </w:pPr>
    </w:p>
    <w:p>
      <w:pPr>
        <w:ind w:left="1540" w:hanging="299"/>
        <w:spacing w:after="0"/>
        <w:tabs>
          <w:tab w:leader="none" w:pos="15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or subleases granted to other Persons and not interfering in any material respect with the business of the lessor or</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sublessor;</w:t>
      </w:r>
    </w:p>
    <w:p>
      <w:pPr>
        <w:spacing w:after="0" w:line="190"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arising from precautionary Uniform Commercial Code filings or similar filings </w:t>
      </w:r>
      <w:r>
        <w:rPr>
          <w:rFonts w:ascii="Times New Roman" w:cs="Times New Roman" w:eastAsia="Times New Roman" w:hAnsi="Times New Roman"/>
          <w:sz w:val="19"/>
          <w:szCs w:val="19"/>
          <w:b w:val="1"/>
          <w:bCs w:val="1"/>
          <w:color w:val="FF0000"/>
          <w:strike w:val="1"/>
        </w:rPr>
        <w:t>relating to operating leases</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color w:val="auto"/>
        </w:rPr>
      </w:pPr>
    </w:p>
    <w:p>
      <w:pPr>
        <w:ind w:firstLine="1241"/>
        <w:spacing w:after="0" w:line="283" w:lineRule="auto"/>
        <w:tabs>
          <w:tab w:leader="none" w:pos="1473"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customs and revenue authorities arising as a matter of law to secure payment of customs duties in connection within the importation of goods;</w:t>
      </w:r>
    </w:p>
    <w:p>
      <w:pPr>
        <w:spacing w:after="0" w:line="142" w:lineRule="exact"/>
        <w:rPr>
          <w:rFonts w:ascii="Times New Roman" w:cs="Times New Roman" w:eastAsia="Times New Roman" w:hAnsi="Times New Roman"/>
          <w:sz w:val="19"/>
          <w:szCs w:val="19"/>
          <w:color w:val="auto"/>
        </w:rPr>
      </w:pPr>
    </w:p>
    <w:p>
      <w:pPr>
        <w:jc w:val="both"/>
        <w:ind w:firstLine="1241"/>
        <w:spacing w:after="0" w:line="262" w:lineRule="auto"/>
        <w:tabs>
          <w:tab w:leader="none" w:pos="1464"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of intellectual property in the ordinary course of business or not materially interfering with the business of Borrower and its Subsidiaries, taken as a whole (including, intercompany licensing of intellectual property between the Borrower and any Subsidiary and between Subsidiaries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xxxiii</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connection with cost-sharing arrangements, distribution, marketing, make-sell or other similar arrangements); and</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(k) any interest or title of a lessor or sublessor under any lease of real property or personal property;</w:t>
      </w:r>
    </w:p>
    <w:p>
      <w:pPr>
        <w:spacing w:after="0" w:line="20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“Permitted Encumbrances” shall not include any Lien securing Indebtedness of the type described in clause (a) the definition thereof.</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Investments</w:t>
      </w:r>
      <w:r>
        <w:rPr>
          <w:rFonts w:ascii="Times New Roman" w:cs="Times New Roman" w:eastAsia="Times New Roman" w:hAnsi="Times New Roman"/>
          <w:sz w:val="19"/>
          <w:szCs w:val="19"/>
          <w:color w:val="auto"/>
        </w:rPr>
        <w:t>” means:</w:t>
      </w:r>
    </w:p>
    <w:p>
      <w:pPr>
        <w:spacing w:after="0" w:line="207" w:lineRule="exact"/>
        <w:rPr>
          <w:sz w:val="20"/>
          <w:szCs w:val="20"/>
          <w:color w:val="auto"/>
        </w:rPr>
      </w:pPr>
    </w:p>
    <w:p>
      <w:pPr>
        <w:jc w:val="both"/>
        <w:ind w:firstLine="1241"/>
        <w:spacing w:after="0" w:line="262" w:lineRule="auto"/>
        <w:tabs>
          <w:tab w:leader="none" w:pos="1495"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or obligations the principal of and interest on which are unconditionally guaranteed by, the United States of America or any political subdivision, state or public instrumentality thereof (or by any agency thereof to the extent such obligations are backed by the full faith and credit of the United States of America), in each case maturing within one year from the date of acquisition thereof;</w:t>
      </w:r>
    </w:p>
    <w:p>
      <w:pPr>
        <w:spacing w:after="0" w:line="174" w:lineRule="exact"/>
        <w:rPr>
          <w:rFonts w:ascii="Times New Roman" w:cs="Times New Roman" w:eastAsia="Times New Roman" w:hAnsi="Times New Roman"/>
          <w:sz w:val="19"/>
          <w:szCs w:val="19"/>
          <w:color w:val="auto"/>
        </w:rPr>
      </w:pPr>
    </w:p>
    <w:p>
      <w:pPr>
        <w:ind w:firstLine="1241"/>
        <w:spacing w:after="0" w:line="283" w:lineRule="auto"/>
        <w:tabs>
          <w:tab w:leader="none" w:pos="152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maturing within 270 days from the date of acquisition thereof and having, at such date of acquisition, the highest credit rating obtainable from S&amp;P or from Moody’s;</w:t>
      </w:r>
    </w:p>
    <w:p>
      <w:pPr>
        <w:spacing w:after="0" w:line="142" w:lineRule="exact"/>
        <w:rPr>
          <w:rFonts w:ascii="Times New Roman" w:cs="Times New Roman" w:eastAsia="Times New Roman" w:hAnsi="Times New Roman"/>
          <w:sz w:val="19"/>
          <w:szCs w:val="19"/>
          <w:color w:val="auto"/>
        </w:rPr>
      </w:pPr>
    </w:p>
    <w:p>
      <w:pPr>
        <w:jc w:val="both"/>
        <w:ind w:firstLine="1241"/>
        <w:spacing w:after="0" w:line="262" w:lineRule="auto"/>
        <w:tabs>
          <w:tab w:leader="none" w:pos="1501"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bonds issued in the United States of America maturing no more than two (2) years from the date of acquisition and, at the time of acquisition, having a rating of at least BBB from S&amp;P or at least Baa2 from Moody’s; provided, that any such investment in such bonds shall not exceed 10% of a specific bond issuance;</w:t>
      </w:r>
    </w:p>
    <w:p>
      <w:pPr>
        <w:spacing w:after="0" w:line="174" w:lineRule="exact"/>
        <w:rPr>
          <w:rFonts w:ascii="Times New Roman" w:cs="Times New Roman" w:eastAsia="Times New Roman" w:hAnsi="Times New Roman"/>
          <w:sz w:val="19"/>
          <w:szCs w:val="19"/>
          <w:color w:val="auto"/>
        </w:rPr>
      </w:pPr>
    </w:p>
    <w:p>
      <w:pPr>
        <w:jc w:val="both"/>
        <w:ind w:firstLine="1241"/>
        <w:spacing w:after="0" w:line="259" w:lineRule="auto"/>
        <w:tabs>
          <w:tab w:leader="none" w:pos="151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certificates of deposit, time deposits, or bankers’ acceptances maturing no more than two (2) years from the date of acquisition thereof issued or guaranteed by or placed with, and money market deposit accounts issued or offered by, any bank organized under the laws of (i) the United States of America or any state thereof or (ii) a jurisdiction other than the United States of America but with a presence in the United States of America, in each case, having at the date of acquisition thereof combined capital and surplus of not less than $250,000,000;</w:t>
      </w:r>
    </w:p>
    <w:p>
      <w:pPr>
        <w:spacing w:after="0" w:line="165" w:lineRule="exact"/>
        <w:rPr>
          <w:rFonts w:ascii="Times New Roman" w:cs="Times New Roman" w:eastAsia="Times New Roman" w:hAnsi="Times New Roman"/>
          <w:sz w:val="19"/>
          <w:szCs w:val="19"/>
          <w:color w:val="auto"/>
        </w:rPr>
      </w:pPr>
    </w:p>
    <w:p>
      <w:pPr>
        <w:jc w:val="both"/>
        <w:ind w:firstLine="1241"/>
        <w:spacing w:after="0" w:line="269" w:lineRule="auto"/>
        <w:tabs>
          <w:tab w:leader="none" w:pos="150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 accounts maintained with (i) any bank that satisfies the criteria described in clause (d)(i) above, or (ii) any other bank organized under the laws of the United States or any state thereof so long as the amount maintained with any such other bank is less than or equal to $250,000 and is insured by the Federal Deposit Insurance Corporation;</w:t>
      </w:r>
    </w:p>
    <w:p>
      <w:pPr>
        <w:spacing w:after="0" w:line="154" w:lineRule="exact"/>
        <w:rPr>
          <w:rFonts w:ascii="Times New Roman" w:cs="Times New Roman" w:eastAsia="Times New Roman" w:hAnsi="Times New Roman"/>
          <w:sz w:val="19"/>
          <w:szCs w:val="19"/>
          <w:color w:val="auto"/>
        </w:rPr>
      </w:pPr>
    </w:p>
    <w:p>
      <w:pPr>
        <w:ind w:firstLine="1241"/>
        <w:spacing w:after="0" w:line="283" w:lineRule="auto"/>
        <w:tabs>
          <w:tab w:leader="none" w:pos="1492"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fully collateralized repurchase agreements with a term of not more than thirty (30) days for securities described in clause (a) above and entered into with a financial institution satisfying the criteria described in clause (d) above;</w:t>
      </w:r>
    </w:p>
    <w:p>
      <w:pPr>
        <w:spacing w:after="0" w:line="142" w:lineRule="exact"/>
        <w:rPr>
          <w:rFonts w:ascii="Times New Roman" w:cs="Times New Roman" w:eastAsia="Times New Roman" w:hAnsi="Times New Roman"/>
          <w:sz w:val="19"/>
          <w:szCs w:val="19"/>
          <w:color w:val="auto"/>
        </w:rPr>
      </w:pPr>
    </w:p>
    <w:p>
      <w:pPr>
        <w:ind w:left="1520" w:hanging="279"/>
        <w:spacing w:after="0"/>
        <w:tabs>
          <w:tab w:leader="none" w:pos="152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(i) comply with the criteria set forth in SEC Rule 2a-7 under the Investment Company Act of 1940,</w:t>
      </w:r>
    </w:p>
    <w:p>
      <w:pPr>
        <w:spacing w:after="0" w:line="25"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rated AAA by S&amp;P and Aaa by Moody’s and (iii) have portfolio assets of at least $5,000,000,000; and</w:t>
      </w:r>
    </w:p>
    <w:p>
      <w:pPr>
        <w:spacing w:after="0" w:line="207" w:lineRule="exact"/>
        <w:rPr>
          <w:rFonts w:ascii="Times New Roman" w:cs="Times New Roman" w:eastAsia="Times New Roman" w:hAnsi="Times New Roman"/>
          <w:sz w:val="19"/>
          <w:szCs w:val="19"/>
          <w:color w:val="auto"/>
        </w:rPr>
      </w:pPr>
    </w:p>
    <w:p>
      <w:pPr>
        <w:jc w:val="both"/>
        <w:ind w:firstLine="1241"/>
        <w:spacing w:after="0" w:line="262" w:lineRule="auto"/>
        <w:tabs>
          <w:tab w:leader="none" w:pos="1556"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an aggregate amount not to exceed $500,000,000 at any time outstanding permitted by the Borrower’s investment policy as previously disclosed to the Administrative Agent and in effect on the Effective Date (and as amended, restated, supplemented or otherwise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xxxiv</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from time to time with the consent (such consent not to be unreasonably withheld) of the Administrative Agent; provided that changes that do not affect the tenor or quality of the investments permitted thereby shall not require such consent).</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means Debt Domain, Intralinks, Syndtrak or a substantially similar electronic transmission system.</w:t>
      </w:r>
    </w:p>
    <w:p>
      <w:pPr>
        <w:spacing w:after="0" w:line="220" w:lineRule="exact"/>
        <w:rPr>
          <w:sz w:val="20"/>
          <w:szCs w:val="20"/>
          <w:color w:val="auto"/>
        </w:rPr>
      </w:pPr>
    </w:p>
    <w:p>
      <w:pPr>
        <w:jc w:val="both"/>
        <w:ind w:firstLine="1238"/>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8"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Principal Properties</w:t>
      </w:r>
      <w:r>
        <w:rPr>
          <w:rFonts w:ascii="Times New Roman" w:cs="Times New Roman" w:eastAsia="Times New Roman" w:hAnsi="Times New Roman"/>
          <w:sz w:val="19"/>
          <w:szCs w:val="19"/>
          <w:color w:val="auto"/>
        </w:rPr>
        <w:t>” means (1) those real properties (and adjacent facilities) of the Borrower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Borrower or any of its Subsidiaries, and in each case the net book value of which as of that date exceeds $50,000,000, other than any such land, building, structure or other facility or portion thereof which, in the opinion of the board of directors of the Borrower (or any committee thereof duly authorized to act on behalf of such board) by resolution determines in good faith not of material importance to the total business conducted by the Borrower and its Subsidiaries, considered as one enterprise.</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Pro Forma Financial Statements</w:t>
      </w:r>
      <w:r>
        <w:rPr>
          <w:rFonts w:ascii="Times New Roman" w:cs="Times New Roman" w:eastAsia="Times New Roman" w:hAnsi="Times New Roman"/>
          <w:sz w:val="19"/>
          <w:szCs w:val="19"/>
          <w:b w:val="1"/>
          <w:bCs w:val="1"/>
          <w:color w:val="FF0000"/>
          <w:strike w:val="1"/>
        </w:rPr>
        <w:t>” has the meaning assigned to such term in Section 3.04(b).</w:t>
      </w:r>
    </w:p>
    <w:p>
      <w:pPr>
        <w:spacing w:after="0" w:line="224"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5390(c)(8)(D).</w:t>
      </w:r>
    </w:p>
    <w:p>
      <w:pPr>
        <w:spacing w:after="0" w:line="1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has the meaning assigned to it in Section 9.18.</w:t>
      </w:r>
    </w:p>
    <w:p>
      <w:pPr>
        <w:spacing w:after="0" w:line="22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Acquisition</w:t>
      </w:r>
      <w:r>
        <w:rPr>
          <w:rFonts w:ascii="Times New Roman" w:cs="Times New Roman" w:eastAsia="Times New Roman" w:hAnsi="Times New Roman"/>
          <w:sz w:val="19"/>
          <w:szCs w:val="19"/>
          <w:color w:val="auto"/>
        </w:rPr>
        <w:t xml:space="preserve">” means any acquisition designated as such by the Borrower to the Administrative Agent at the time of the consummation thereof for consideration in excess of $500,000,000;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effect to such Qualified Acquisition, no Default or Event of Default hereunder shall have occurred or be continuing or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Recipient</w:t>
      </w:r>
      <w:r>
        <w:rPr>
          <w:rFonts w:ascii="Times New Roman" w:cs="Times New Roman" w:eastAsia="Times New Roman" w:hAnsi="Times New Roman"/>
          <w:sz w:val="19"/>
          <w:szCs w:val="19"/>
          <w:color w:val="auto"/>
        </w:rPr>
        <w:t>” means (a) the Administrative Agent, (b) any Lender and (c) any Issuing Bank, as applicable.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w:t>
      </w:r>
    </w:p>
    <w:p>
      <w:pPr>
        <w:spacing w:after="0" w:line="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5:00 a.m. (Chicago time) on the day that is two Business Days preceding the date of such setting, (2) if such Benchmark is EURIBOR Rate, 11:00 a.m. Brussels time two TARGET Days preceding the date of such setting, (3) if the RFR for such Benchmark is SONIA, then three Business Days prior to such setting, (4) if the RFR for such Benchmark is Daily Simple SOFR, then four Business Days prior to such setting, (5) if, following a Benchmark Transition Event and Benchmark Replacement Date with respect to Term CORRA, the RFR for such Benchmark is Daily Simple CORRA, then four RFR Business Days prior to such setting, (6) if such Benchmark is the Adjusted Term CORRA Rate, 1:00 p.m. Toronto local time on the day that is two Business Days preceding the date of such setting, or (7) if such Benchmark is none of the Term SOFR Rate, the EURIBOR Rate, SONIA, Daily Simple SOFR, Daily Simple CORRA or the Adjusted Term CORRA Rate, the time determined by the Administrative Agent in its reasonable discretion.</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has the meaning assigned to such term in Section 9.04.</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partners, trustees, administrators, directors, officers, employees, agents and advisors of such Person and such Person’s Affiliates.</w:t>
      </w:r>
    </w:p>
    <w:p>
      <w:pPr>
        <w:spacing w:after="0" w:line="168"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(i) with respect to a Benchmark Replacement in respect of Loans denominated in Dollars, the Federal Reserve Board and/or the NYFRB, the Term SOFR Administrator,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(x) the Bank of Canada or (y) any working group or committee officially endorsed or convened by (A) the Bank of Canada, (B) any other supervisor that is responsible for supervising either (1) such Benchmark Replacement or (2) the administrator of such Benchmark Replacement, (C) a group of the Bank of Canada or any other such supervisors or (D) the Financial Stability Board or any part thereof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w:t>
      </w:r>
    </w:p>
    <w:p>
      <w:pPr>
        <w:spacing w:after="0" w:line="37" w:lineRule="exact"/>
        <w:rPr>
          <w:sz w:val="20"/>
          <w:szCs w:val="20"/>
          <w:color w:val="auto"/>
        </w:rPr>
      </w:pPr>
    </w:p>
    <w:p>
      <w:pPr>
        <w:ind w:firstLine="3"/>
        <w:spacing w:after="0" w:line="269" w:lineRule="auto"/>
        <w:tabs>
          <w:tab w:leader="none" w:pos="291"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Term Benchmark Borrowing denominated in Canadian Dollars, the Adjusted Term CORRA Rate, (iii) with respect to any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xxxvi</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Benchmark Borrowing denominated in Euros, the Adjusted EURIBOR Rate or (iv) with respect to any RFR Borrowing denominated in Sterling, Dollars or Canadian Dollars, the applicable Adjusted Daily Simple RFR, as applicable.</w:t>
      </w:r>
    </w:p>
    <w:p>
      <w:pPr>
        <w:spacing w:after="0" w:line="142"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Screen Rate</w:t>
      </w:r>
      <w:r>
        <w:rPr>
          <w:rFonts w:ascii="Times New Roman" w:cs="Times New Roman" w:eastAsia="Times New Roman" w:hAnsi="Times New Roman"/>
          <w:sz w:val="19"/>
          <w:szCs w:val="19"/>
          <w:color w:val="auto"/>
        </w:rPr>
        <w:t>” means (i) with respect to any Term Benchmark Borrowing denominated in Dollars, the Term SOFR Reference Rate, (ii) with respect to any Term Benchmark Borrowing denominated in Canadian Dollars, Term CORRA or (iii) with respect to any Term Benchmark Borrowing denominated in Euros, the EURIBOR Screen Rate.</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Replacement Lender</w:t>
      </w:r>
      <w:r>
        <w:rPr>
          <w:rFonts w:ascii="Times New Roman" w:cs="Times New Roman" w:eastAsia="Times New Roman" w:hAnsi="Times New Roman"/>
          <w:sz w:val="19"/>
          <w:szCs w:val="19"/>
          <w:color w:val="auto"/>
        </w:rPr>
        <w:t>” has the meaning assigned to such term in Section 2.23(c).</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means, at any time, Lenders having Revolving Credit Exposures and unused Commitments representing more than 50% of the sum of the total Revolving Credit Exposures and unused Commitments at such time.</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Authority.</w:t>
      </w:r>
    </w:p>
    <w:p>
      <w:pPr>
        <w:spacing w:after="0" w:line="1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Response Date</w:t>
      </w:r>
      <w:r>
        <w:rPr>
          <w:rFonts w:ascii="Times New Roman" w:cs="Times New Roman" w:eastAsia="Times New Roman" w:hAnsi="Times New Roman"/>
          <w:sz w:val="19"/>
          <w:szCs w:val="19"/>
          <w:color w:val="auto"/>
        </w:rPr>
        <w:t>” has the meaning assigned to such term in Section 2.23(a).</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Exposure</w:t>
      </w:r>
      <w:r>
        <w:rPr>
          <w:rFonts w:ascii="Times New Roman" w:cs="Times New Roman" w:eastAsia="Times New Roman" w:hAnsi="Times New Roman"/>
          <w:sz w:val="19"/>
          <w:szCs w:val="19"/>
          <w:color w:val="auto"/>
        </w:rPr>
        <w:t>” means, with respect to any Lender at any time, the sum of the outstanding principal amount of such Lender’s Loans and its LC Exposure at such time.</w:t>
      </w:r>
    </w:p>
    <w:p>
      <w:pPr>
        <w:spacing w:after="0" w:line="168"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means, for any RFR Loan denominated in (a) Sterling, SONIA, (b) Dollars, Daily Simple SOFR and (c) Canadian Dollars (solely following a Benchmark Transition Event and Benchmark Replacement Date with respect to Term CORRA) Daily Simple CORRA.</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Administrator</w:t>
      </w:r>
      <w:r>
        <w:rPr>
          <w:rFonts w:ascii="Times New Roman" w:cs="Times New Roman" w:eastAsia="Times New Roman" w:hAnsi="Times New Roman"/>
          <w:sz w:val="19"/>
          <w:szCs w:val="19"/>
          <w:color w:val="auto"/>
        </w:rPr>
        <w:t>” means the SONIA Administrator, the SOFR Administrator or the CORRA Administrator.</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Borrowing</w:t>
      </w:r>
      <w:r>
        <w:rPr>
          <w:rFonts w:ascii="Times New Roman" w:cs="Times New Roman" w:eastAsia="Times New Roman" w:hAnsi="Times New Roman"/>
          <w:sz w:val="19"/>
          <w:szCs w:val="19"/>
          <w:color w:val="auto"/>
        </w:rPr>
        <w:t>” means, as to any Borrowing, the RFR Loans comprising such Borrowing.</w:t>
      </w:r>
    </w:p>
    <w:p>
      <w:pPr>
        <w:spacing w:after="0" w:line="207"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Loan denominated in (a) Sterling, any day except for (i) a Saturday, (ii) a Sunday or (iii) a day on which banks are closed for general business in London, (b) Dollars, a U.S. Government Securities Business Day and (c) Canadian Dollars, any day except Saturday, Sunday or any other day on which banks in Canada are authorized or required by law to remained closed.</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has the meaning specified in the definition of “Daily Simple RFR”.</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Loan</w:t>
      </w:r>
      <w:r>
        <w:rPr>
          <w:rFonts w:ascii="Times New Roman" w:cs="Times New Roman" w:eastAsia="Times New Roman" w:hAnsi="Times New Roman"/>
          <w:sz w:val="19"/>
          <w:szCs w:val="19"/>
          <w:color w:val="auto"/>
        </w:rPr>
        <w:t>” means a Loan that bears interest at a rate based on the Adjusted Daily Simple RFR.</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S&amp;P Global Ratings, a business of S&amp;P Global Inc., and any successor thereto.</w:t>
      </w:r>
    </w:p>
    <w:p>
      <w:pPr>
        <w:spacing w:after="0" w:line="220"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means any sale or other transfer of any property or asset by any Person with the intent to lease such property or asset as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xxxvii</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6"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xml:space="preserve">” means, at any time, a country, region or territory which is itself the subject or target of any Sanctions (at the time of this Agreement, the so-called Donetsk People’s Republic </w:t>
      </w:r>
      <w:r>
        <w:rPr>
          <w:rFonts w:ascii="Times New Roman" w:cs="Times New Roman" w:eastAsia="Times New Roman" w:hAnsi="Times New Roman"/>
          <w:sz w:val="19"/>
          <w:szCs w:val="19"/>
          <w:b w:val="1"/>
          <w:bCs w:val="1"/>
          <w:color w:val="FF0000"/>
        </w:rPr>
        <w:t>of Ukraine</w:t>
      </w:r>
      <w:r>
        <w:rPr>
          <w:rFonts w:ascii="Times New Roman" w:cs="Times New Roman" w:eastAsia="Times New Roman" w:hAnsi="Times New Roman"/>
          <w:sz w:val="19"/>
          <w:szCs w:val="19"/>
          <w:color w:val="auto"/>
        </w:rPr>
        <w:t>, the so-called Luhansk People’s Republic</w:t>
      </w:r>
      <w:r>
        <w:rPr>
          <w:rFonts w:ascii="Times New Roman" w:cs="Times New Roman" w:eastAsia="Times New Roman" w:hAnsi="Times New Roman"/>
          <w:sz w:val="19"/>
          <w:szCs w:val="19"/>
          <w:b w:val="1"/>
          <w:bCs w:val="1"/>
          <w:u w:val="single" w:color="auto"/>
          <w:color w:val="0000FF"/>
        </w:rPr>
        <w:t>, Crimea, , the non-Ukrainian government-controlled areas of the Kherson and Zaporizhzhia regions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of Ukraine</w:t>
      </w:r>
      <w:r>
        <w:rPr>
          <w:rFonts w:ascii="Times New Roman" w:cs="Times New Roman" w:eastAsia="Times New Roman" w:hAnsi="Times New Roman"/>
          <w:sz w:val="19"/>
          <w:szCs w:val="19"/>
          <w:b w:val="1"/>
          <w:bCs w:val="1"/>
          <w:color w:val="FF0000"/>
          <w:strike w:val="1"/>
        </w:rPr>
        <w:t>, the Crimea Region of Ukraine</w:t>
      </w:r>
      <w:r>
        <w:rPr>
          <w:rFonts w:ascii="Times New Roman" w:cs="Times New Roman" w:eastAsia="Times New Roman" w:hAnsi="Times New Roman"/>
          <w:sz w:val="19"/>
          <w:szCs w:val="19"/>
          <w:color w:val="000000"/>
        </w:rPr>
        <w:t>, Cuba, Iran,</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North Korea and Syria).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3298825</wp:posOffset>
            </wp:positionH>
            <wp:positionV relativeFrom="paragraph">
              <wp:posOffset>-372110</wp:posOffset>
            </wp:positionV>
            <wp:extent cx="6210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62103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-298450</wp:posOffset>
            </wp:positionV>
            <wp:extent cx="188595" cy="1308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a:extLst>
                        <a:ext uri="{28A0092B-C50C-407E-A947-70E740481C1C}"/>
                      </a:extLst>
                    </a:blip>
                    <a:srcRect/>
                    <a:stretch>
                      <a:fillRect/>
                    </a:stretch>
                  </pic:blipFill>
                  <pic:spPr bwMode="auto">
                    <a:xfrm>
                      <a:off x="0" y="0"/>
                      <a:ext cx="188595" cy="130810"/>
                    </a:xfrm>
                    <a:prstGeom prst="rect">
                      <a:avLst/>
                    </a:prstGeom>
                    <a:noFill/>
                  </pic:spPr>
                </pic:pic>
              </a:graphicData>
            </a:graphic>
          </wp:anchor>
        </w:drawing>
      </w:r>
    </w:p>
    <w:p>
      <w:pPr>
        <w:spacing w:after="0" w:line="159"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xml:space="preserve">” means, at any time, (a) any Person listed in any Sanctions-related list of designated Persons maintained by OFAC, the U.S. Department of State, the United Nations Security Council, the European Union, </w:t>
      </w:r>
      <w:r>
        <w:rPr>
          <w:rFonts w:ascii="Times New Roman" w:cs="Times New Roman" w:eastAsia="Times New Roman" w:hAnsi="Times New Roman"/>
          <w:sz w:val="19"/>
          <w:szCs w:val="19"/>
          <w:b w:val="1"/>
          <w:bCs w:val="1"/>
          <w:color w:val="FF0000"/>
          <w:strike w:val="1"/>
        </w:rPr>
        <w:t>Her</w:t>
      </w:r>
      <w:r>
        <w:rPr>
          <w:rFonts w:ascii="Times New Roman" w:cs="Times New Roman" w:eastAsia="Times New Roman" w:hAnsi="Times New Roman"/>
          <w:sz w:val="19"/>
          <w:szCs w:val="19"/>
          <w:b w:val="1"/>
          <w:bCs w:val="1"/>
          <w:u w:val="single" w:color="auto"/>
          <w:color w:val="0000FF"/>
        </w:rPr>
        <w:t>His</w:t>
      </w:r>
      <w:r>
        <w:rPr>
          <w:rFonts w:ascii="Times New Roman" w:cs="Times New Roman" w:eastAsia="Times New Roman" w:hAnsi="Times New Roman"/>
          <w:sz w:val="19"/>
          <w:szCs w:val="19"/>
          <w:color w:val="auto"/>
        </w:rPr>
        <w:t xml:space="preserve"> Majesty’s Treasury of the United Kingdom or other relevant sanctions authorities, (b) any Person operating, organized or resident in a Sanctioned Country, (c) any Person owned or controlled by any such Person or Persons described in the foregoing clauses (a) or (b) or (d) any government that is itself the target of Sanctions (as of the date of this Agreement, the governments of Cuba, Iran, North Korea, Syria, and Venezuela).</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all economic or financial sanctions or trade embargoes imposed, administered or enforced from time to time by</w:t>
      </w:r>
    </w:p>
    <w:p>
      <w:pPr>
        <w:spacing w:after="0" w:line="21" w:lineRule="exact"/>
        <w:rPr>
          <w:sz w:val="20"/>
          <w:szCs w:val="20"/>
          <w:color w:val="auto"/>
        </w:rPr>
      </w:pPr>
    </w:p>
    <w:p>
      <w:pPr>
        <w:ind w:firstLine="3"/>
        <w:spacing w:after="0" w:line="261" w:lineRule="auto"/>
        <w:tabs>
          <w:tab w:leader="none" w:pos="27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U.S. government, including those administered by OFAC or the U.S. Department of State or (b) the United Nations Security Council, the European Union, </w:t>
      </w:r>
      <w:r>
        <w:rPr>
          <w:rFonts w:ascii="Times New Roman" w:cs="Times New Roman" w:eastAsia="Times New Roman" w:hAnsi="Times New Roman"/>
          <w:sz w:val="19"/>
          <w:szCs w:val="19"/>
          <w:b w:val="1"/>
          <w:bCs w:val="1"/>
          <w:color w:val="FF0000"/>
          <w:strike w:val="1"/>
        </w:rPr>
        <w:t>Her</w:t>
      </w:r>
      <w:r>
        <w:rPr>
          <w:rFonts w:ascii="Times New Roman" w:cs="Times New Roman" w:eastAsia="Times New Roman" w:hAnsi="Times New Roman"/>
          <w:sz w:val="19"/>
          <w:szCs w:val="19"/>
          <w:b w:val="1"/>
          <w:bCs w:val="1"/>
          <w:u w:val="single" w:color="auto"/>
          <w:color w:val="0000FF"/>
        </w:rPr>
        <w:t>His</w:t>
      </w:r>
      <w:r>
        <w:rPr>
          <w:rFonts w:ascii="Times New Roman" w:cs="Times New Roman" w:eastAsia="Times New Roman" w:hAnsi="Times New Roman"/>
          <w:sz w:val="19"/>
          <w:szCs w:val="19"/>
          <w:color w:val="auto"/>
        </w:rPr>
        <w:t xml:space="preserve"> Majesty’s Treasury of the United Kingdom, or other relevant sanctions authorities.</w:t>
      </w:r>
    </w:p>
    <w:p>
      <w:pPr>
        <w:spacing w:after="0" w:line="16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United States Securities and Exchange Commission or any successor agency of the U.S. government administering the Securities Act.</w:t>
      </w:r>
    </w:p>
    <w:p>
      <w:pPr>
        <w:spacing w:after="0" w:line="155"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Securities Act of 1933, as amended, or any successor federal statute, and the rules and regulations of the SEC thereunder, all as the same shall be in effect from time to time.</w:t>
      </w:r>
    </w:p>
    <w:p>
      <w:pPr>
        <w:spacing w:after="0" w:line="164"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Senior Notes</w:t>
      </w:r>
      <w:r>
        <w:rPr>
          <w:rFonts w:ascii="Times New Roman" w:cs="Times New Roman" w:eastAsia="Times New Roman" w:hAnsi="Times New Roman"/>
          <w:sz w:val="19"/>
          <w:szCs w:val="19"/>
          <w:b w:val="1"/>
          <w:bCs w:val="1"/>
          <w:color w:val="FF0000"/>
          <w:strike w:val="1"/>
        </w:rPr>
        <w:t>” means, collectively, (i) the 3.300% senior notes due 2024 of the Borrower in an aggregate principal amount of $1,000,000,000, (ii) the 3.550% senior notes due 2025 of the Borrower in an aggregate principal amount of $600,000,000, (iii) the 3.700% senior notes due 2027 of the Borrower in an aggregate principal amount of $600,000,000 and (iv) the 4.000% senior notes due 2032 of the Borrower in an aggregate principal amount of $500,000,000.</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NYFRB (or a successor administrator of the secured overnight financing rate).</w:t>
      </w:r>
    </w:p>
    <w:p>
      <w:pPr>
        <w:spacing w:after="0" w:line="207" w:lineRule="exact"/>
        <w:rPr>
          <w:sz w:val="20"/>
          <w:szCs w:val="20"/>
          <w:color w:val="auto"/>
        </w:rPr>
      </w:pPr>
    </w:p>
    <w:p>
      <w:pPr>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Administrator’s Website</w:t>
      </w:r>
      <w:r>
        <w:rPr>
          <w:rFonts w:ascii="Times New Roman" w:cs="Times New Roman" w:eastAsia="Times New Roman" w:hAnsi="Times New Roman"/>
          <w:sz w:val="19"/>
          <w:szCs w:val="19"/>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has the meaning specified in the definition of “Daily Simple SOFR”.</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xxxviii</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6"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 Average).</w:t>
      </w:r>
    </w:p>
    <w:p>
      <w:pPr>
        <w:spacing w:after="0" w:line="220"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42" w:lineRule="exact"/>
        <w:rPr>
          <w:sz w:val="20"/>
          <w:szCs w:val="20"/>
          <w:color w:val="auto"/>
        </w:rPr>
      </w:pPr>
    </w:p>
    <w:p>
      <w:pPr>
        <w:jc w:val="both"/>
        <w:ind w:firstLine="123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Term CORRA Rate or Adjusted EURIBOR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Sterling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mean the lawful currency of the United Kingdom.</w:t>
      </w:r>
    </w:p>
    <w:p>
      <w:pPr>
        <w:spacing w:after="0" w:line="207"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such parent and (b) with respect to which such parent is a Controlling Person or otherwise Controls such entity.</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any subsidiary of the Borrower.</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Successor Company</w:t>
      </w:r>
      <w:r>
        <w:rPr>
          <w:rFonts w:ascii="Times New Roman" w:cs="Times New Roman" w:eastAsia="Times New Roman" w:hAnsi="Times New Roman"/>
          <w:sz w:val="19"/>
          <w:szCs w:val="19"/>
          <w:color w:val="auto"/>
        </w:rPr>
        <w:t>” has the meaning assigned to it in Section 6.04.</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has the meaning assigned to it in Section 9.18.</w:t>
      </w:r>
    </w:p>
    <w:p>
      <w:pPr>
        <w:spacing w:after="0" w:line="19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the following shall not be deemed a “Swap Agreement”: (i) any phantom stock or similar plan (including, any stock option plan) providing for payments only on account of services provided by current or former directors, officers, employees or consultants of the Borrower or the Subsidiaries, (ii) any stock option or warrant agreement for the purchase of Equity Interests of the Borrower, (iii) the purchase of Equity Interests 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xxxix</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(including securities convertible into Equity Interests) of Borrower pursuant to delayed delivery contracts, accelerated stock repurchase agreements, forward contracts or other similar agreements and (iv) any of the foregoing to the extent that it constitutes a derivative embedded in a convertible security issued by the Borrower.</w:t>
      </w:r>
    </w:p>
    <w:p>
      <w:pPr>
        <w:spacing w:after="0" w:line="174"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Syndication Agent</w:t>
      </w:r>
      <w:r>
        <w:rPr>
          <w:rFonts w:ascii="Times New Roman" w:cs="Times New Roman" w:eastAsia="Times New Roman" w:hAnsi="Times New Roman"/>
          <w:sz w:val="19"/>
          <w:szCs w:val="19"/>
          <w:color w:val="auto"/>
        </w:rPr>
        <w:t>” means Wells Fargo Bank, National Association, in its capacity as a syndication agent for the credit facility evidenced by this Agreement.</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TARGET2</w:t>
      </w:r>
      <w:r>
        <w:rPr>
          <w:rFonts w:ascii="Times New Roman" w:cs="Times New Roman" w:eastAsia="Times New Roman" w:hAnsi="Times New Roman"/>
          <w:sz w:val="19"/>
          <w:szCs w:val="19"/>
          <w:color w:val="auto"/>
        </w:rPr>
        <w:t>” means the Trans-European Automated Real-time Gross Settlement Express Transfer payment system which utilizes a single shared platform and which was launched on November 19, 2007.</w:t>
      </w:r>
    </w:p>
    <w:p>
      <w:pPr>
        <w:spacing w:after="0" w:line="142"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8"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or the Loans comprising such Borrowing, are bearing interest at a rate determined by reference to the Adjusted Term SOFR Rate, the Adjusted Term CORRA Rate or the Adjusted EURIBOR Rate.</w:t>
      </w:r>
    </w:p>
    <w:p>
      <w:pPr>
        <w:spacing w:after="0" w:line="174"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w:t>
      </w:r>
      <w:r>
        <w:rPr>
          <w:rFonts w:ascii="Times New Roman" w:cs="Times New Roman" w:eastAsia="Times New Roman" w:hAnsi="Times New Roman"/>
          <w:sz w:val="19"/>
          <w:szCs w:val="19"/>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CORRA Determination Day</w:t>
      </w:r>
      <w:r>
        <w:rPr>
          <w:rFonts w:ascii="Times New Roman" w:cs="Times New Roman" w:eastAsia="Times New Roman" w:hAnsi="Times New Roman"/>
          <w:sz w:val="19"/>
          <w:szCs w:val="19"/>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as of 1:00 p.m. (Toronto time) on any Periodic Term CORRA Determination Day the Term CORRA Reference Rate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31"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Notice</w:t>
      </w:r>
      <w:r>
        <w:rPr>
          <w:rFonts w:ascii="Times New Roman" w:cs="Times New Roman" w:eastAsia="Times New Roman" w:hAnsi="Times New Roman"/>
          <w:sz w:val="19"/>
          <w:szCs w:val="19"/>
          <w:color w:val="auto"/>
        </w:rPr>
        <w:t>” means a notification by the Administrative Agent to the Lenders and the Borrower with the prior written consent of the Borrower of the occurrence of a Term CORRA Reelection Event.</w:t>
      </w:r>
    </w:p>
    <w:p>
      <w:pPr>
        <w:spacing w:after="0" w:line="168"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Reelection Event</w:t>
      </w:r>
      <w:r>
        <w:rPr>
          <w:rFonts w:ascii="Times New Roman" w:cs="Times New Roman" w:eastAsia="Times New Roman" w:hAnsi="Times New Roman"/>
          <w:sz w:val="19"/>
          <w:szCs w:val="19"/>
          <w:color w:val="auto"/>
        </w:rPr>
        <w:t>” means the determination by the Administrative Agent in consultation with the Borrower that (a) Term CORRA has been recommended for use by the Relevant Governmental Body, (b) the administration of Term CORRA is administratively feasible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Administrative Agent and (c) a Benchmark Transition Event, has previously occurred resulting in a Benchmark Replacement in accordance with Section 2.14(a) that is not Term CORRA.</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Reference Rate</w:t>
      </w:r>
      <w:r>
        <w:rPr>
          <w:rFonts w:ascii="Times New Roman" w:cs="Times New Roman" w:eastAsia="Times New Roman" w:hAnsi="Times New Roman"/>
          <w:sz w:val="19"/>
          <w:szCs w:val="19"/>
          <w:color w:val="auto"/>
        </w:rPr>
        <w:t>” means the forward-looking term rate based on CORRA.</w:t>
      </w:r>
    </w:p>
    <w:p>
      <w:pPr>
        <w:spacing w:after="0" w:line="220"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CME Group Benchmark Administration Limited as administrator of the forward-looking term Secured Overnight Financing Rate (SOFR) (or a successor administrator).</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Determination Day</w:t>
      </w:r>
      <w:r>
        <w:rPr>
          <w:rFonts w:ascii="Times New Roman" w:cs="Times New Roman" w:eastAsia="Times New Roman" w:hAnsi="Times New Roman"/>
          <w:sz w:val="19"/>
          <w:szCs w:val="19"/>
          <w:color w:val="auto"/>
        </w:rPr>
        <w:t>” has the meaning assigned to it under the definition of Term SOFR Reference Rate.</w:t>
      </w:r>
    </w:p>
    <w:p>
      <w:pPr>
        <w:spacing w:after="0" w:line="220"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Rate</w:t>
      </w:r>
      <w:r>
        <w:rPr>
          <w:rFonts w:ascii="Times New Roman" w:cs="Times New Roman" w:eastAsia="Times New Roman" w:hAnsi="Times New Roman"/>
          <w:sz w:val="19"/>
          <w:szCs w:val="19"/>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Term SOFR Administrator.</w:t>
      </w:r>
    </w:p>
    <w:p>
      <w:pPr>
        <w:spacing w:after="0" w:line="166"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for any day and time (such day, the “Term SOFR Determination Day”),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9"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Revolving Credit Exposure</w:t>
      </w:r>
      <w:r>
        <w:rPr>
          <w:rFonts w:ascii="Times New Roman" w:cs="Times New Roman" w:eastAsia="Times New Roman" w:hAnsi="Times New Roman"/>
          <w:sz w:val="19"/>
          <w:szCs w:val="19"/>
          <w:color w:val="auto"/>
        </w:rPr>
        <w:t>” means, the sum of the outstanding principal amount of all Lenders’ Loans and their LC Exposure at such time.</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xml:space="preserve">” means, collectively, </w:t>
      </w:r>
      <w:r>
        <w:rPr>
          <w:rFonts w:ascii="Times New Roman" w:cs="Times New Roman" w:eastAsia="Times New Roman" w:hAnsi="Times New Roman"/>
          <w:sz w:val="19"/>
          <w:szCs w:val="19"/>
          <w:b w:val="1"/>
          <w:bCs w:val="1"/>
          <w:color w:val="FF0000"/>
          <w:strike w:val="1"/>
        </w:rPr>
        <w:t>(a) the consummation of the Combination, (b) the occurrence of the Effective Date</w:t>
      </w:r>
    </w:p>
    <w:p>
      <w:pPr>
        <w:spacing w:after="0" w:line="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FF0000"/>
          <w:strike w:val="1"/>
        </w:rPr>
        <w:t>Refinancing, (c) the occurrence of the Existing Zynga Notes Fundamental Change Conversion and the Existing Zynga Notes Fundamental Change Repurchase, if any, (d) the issuance of the Senior Notes, (e) the execution, delivery and performance by the Borrower of this Agreement and the other Loan Documents and the initial borrowing of Loans and other credit extensions, the use of proceeds thereof and the issuance (including any deemed issuance) of Letters of Credit hereunder, (f) the other transactions to occur pursuant to or in connection with the Merger Agreement and the Loan Documents and (g)</w:t>
      </w:r>
      <w:r>
        <w:rPr>
          <w:rFonts w:ascii="Times New Roman" w:cs="Times New Roman" w:eastAsia="Times New Roman" w:hAnsi="Times New Roman"/>
          <w:sz w:val="18"/>
          <w:szCs w:val="18"/>
          <w:b w:val="1"/>
          <w:bCs w:val="1"/>
          <w:u w:val="single" w:color="auto"/>
          <w:color w:val="0000FF"/>
          <w:strike w:val="1"/>
        </w:rPr>
        <w:t>the execution and delivery of Amendment No. 3 and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the payment of all fees,</w:t>
      </w:r>
    </w:p>
    <w:p>
      <w:pPr>
        <w:spacing w:after="0"/>
        <w:rPr>
          <w:sz w:val="20"/>
          <w:szCs w:val="20"/>
          <w:color w:val="auto"/>
        </w:rPr>
      </w:pPr>
      <w:r>
        <w:rPr>
          <w:rFonts w:ascii="Times New Roman" w:cs="Times New Roman" w:eastAsia="Times New Roman" w:hAnsi="Times New Roman"/>
          <w:sz w:val="19"/>
          <w:szCs w:val="19"/>
          <w:color w:val="auto"/>
        </w:rPr>
        <w:t>costs and expenses incurred or payable by the Borrower or any of its Subsidiaries in connection with the foregoing.</w:t>
      </w:r>
    </w:p>
    <w:p>
      <w:pPr>
        <w:spacing w:after="0" w:line="19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comprising such Borrowing, is determined by reference to the Adjusted Term SOFR Rate, the Adjusted Term CORRA Rate, the Adjusted EURIBOR Rate, the Adjusted Daily Simple RFR or the Alternate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6"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Institutions</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Unaudited Financial Statements</w:t>
      </w:r>
      <w:r>
        <w:rPr>
          <w:rFonts w:ascii="Times New Roman" w:cs="Times New Roman" w:eastAsia="Times New Roman" w:hAnsi="Times New Roman"/>
          <w:sz w:val="19"/>
          <w:szCs w:val="19"/>
          <w:b w:val="1"/>
          <w:bCs w:val="1"/>
          <w:color w:val="FF0000"/>
          <w:strike w:val="1"/>
        </w:rPr>
        <w:t>” has the meaning assigned to such term in Section 3.04(a).</w:t>
      </w:r>
    </w:p>
    <w:p>
      <w:pPr>
        <w:spacing w:after="0" w:line="224"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 “United States person” within the meaning of Section 7701(a)(30) of the Code.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Special Resolution Regime</w:t>
      </w:r>
      <w:r>
        <w:rPr>
          <w:rFonts w:ascii="Times New Roman" w:cs="Times New Roman" w:eastAsia="Times New Roman" w:hAnsi="Times New Roman"/>
          <w:sz w:val="19"/>
          <w:szCs w:val="19"/>
          <w:color w:val="auto"/>
        </w:rPr>
        <w:t>” has the meaning assigned to it in Section 9.18.</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has the meaning assigned to such term in Section 2.17(f)(ii)(B)(3).</w:t>
      </w:r>
    </w:p>
    <w:p>
      <w:pPr>
        <w:spacing w:after="0" w:line="207" w:lineRule="exact"/>
        <w:rPr>
          <w:sz w:val="20"/>
          <w:szCs w:val="20"/>
          <w:color w:val="auto"/>
        </w:rPr>
      </w:pPr>
    </w:p>
    <w:p>
      <w:pPr>
        <w:jc w:val="both"/>
        <w:ind w:firstLine="123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means liability to a Multiemployer Plan as a result of a complete or partial withdrawal from such Multiemployer Plan, as such terms are defined in Part I of Subtitle E of Title IV of ERISA.</w:t>
      </w:r>
    </w:p>
    <w:p>
      <w:pPr>
        <w:spacing w:after="0" w:line="142"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Zynga</w:t>
      </w:r>
      <w:r>
        <w:rPr>
          <w:rFonts w:ascii="Times New Roman" w:cs="Times New Roman" w:eastAsia="Times New Roman" w:hAnsi="Times New Roman"/>
          <w:sz w:val="19"/>
          <w:szCs w:val="19"/>
          <w:b w:val="1"/>
          <w:bCs w:val="1"/>
          <w:color w:val="FF0000"/>
          <w:strike w:val="1"/>
        </w:rPr>
        <w:t>” means Zynga Inc., a Delaware corporation.</w:t>
      </w:r>
    </w:p>
    <w:p>
      <w:pPr>
        <w:spacing w:after="0" w:line="211" w:lineRule="exact"/>
        <w:rPr>
          <w:sz w:val="20"/>
          <w:szCs w:val="20"/>
          <w:color w:val="auto"/>
        </w:rPr>
      </w:pPr>
    </w:p>
    <w:p>
      <w:pPr>
        <w:jc w:val="both"/>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1.02. </w:t>
      </w:r>
      <w:r>
        <w:rPr>
          <w:rFonts w:ascii="Times New Roman" w:cs="Times New Roman" w:eastAsia="Times New Roman" w:hAnsi="Times New Roman"/>
          <w:sz w:val="19"/>
          <w:szCs w:val="19"/>
          <w:u w:val="single" w:color="auto"/>
          <w:color w:val="000000"/>
        </w:rPr>
        <w:t>Classification of Loans and Borrowings</w:t>
      </w:r>
      <w:r>
        <w:rPr>
          <w:rFonts w:ascii="Times New Roman" w:cs="Times New Roman" w:eastAsia="Times New Roman" w:hAnsi="Times New Roman"/>
          <w:sz w:val="19"/>
          <w:szCs w:val="19"/>
          <w:color w:val="000000"/>
        </w:rPr>
        <w:t>. For purposes of this Agreement, Loans may be classified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referred to by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Loan”). Borrowings also may be classified and referred to by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xlii</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23"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1.03. </w:t>
      </w:r>
      <w:r>
        <w:rPr>
          <w:rFonts w:ascii="Times New Roman" w:cs="Times New Roman" w:eastAsia="Times New Roman" w:hAnsi="Times New Roman"/>
          <w:sz w:val="19"/>
          <w:szCs w:val="19"/>
          <w:u w:val="single" w:color="auto"/>
          <w:color w:val="000000"/>
        </w:rPr>
        <w:t>Terms Generally</w:t>
      </w:r>
      <w:r>
        <w:rPr>
          <w:rFonts w:ascii="Times New Roman" w:cs="Times New Roman" w:eastAsia="Times New Roman" w:hAnsi="Times New Roman"/>
          <w:sz w:val="19"/>
          <w:szCs w:val="19"/>
          <w:color w:val="000000"/>
        </w:rPr>
        <w:t>. The definitions of terms herein shall apply equally to the singular and plural forms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terms defined. Whenever the context may require, any pronoun shall include the corresponding masculine, feminine and neuter forms. The words</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“include”, “includes” and “including” shall be deemed to be followed by the phrase “without limitation”. The word “will” shall be construed to have the same meaning and effect as the word “shall”. The word “law” shall be construed as referring to all statutes, rules, regulations, codes and other</w:t>
      </w:r>
    </w:p>
    <w:p>
      <w:pPr>
        <w:spacing w:after="0" w:line="213" w:lineRule="auto"/>
        <w:rPr>
          <w:sz w:val="20"/>
          <w:szCs w:val="20"/>
          <w:color w:val="auto"/>
        </w:rPr>
      </w:pPr>
      <w:r>
        <w:rPr>
          <w:rFonts w:ascii="Times New Roman" w:cs="Times New Roman" w:eastAsia="Times New Roman" w:hAnsi="Times New Roman"/>
          <w:sz w:val="19"/>
          <w:szCs w:val="19"/>
          <w:color w:val="auto"/>
        </w:rPr>
        <w:t>laws (including official rulings and interpretations thereunder having the force of law or with which affected Persons customarily comply), and all</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judgments, orders and decrees, of all Governmental Authorities. Unless the context requires otherwise (a) any definition of or reference to any agreement, instrument or other document herein shall be construed as referring to such agreement, instrument or other document as from time to</w:t>
      </w:r>
    </w:p>
    <w:p>
      <w:pPr>
        <w:spacing w:after="0" w:line="213" w:lineRule="auto"/>
        <w:rPr>
          <w:sz w:val="20"/>
          <w:szCs w:val="20"/>
          <w:color w:val="auto"/>
        </w:rPr>
      </w:pPr>
      <w:r>
        <w:rPr>
          <w:rFonts w:ascii="Times New Roman" w:cs="Times New Roman" w:eastAsia="Times New Roman" w:hAnsi="Times New Roman"/>
          <w:sz w:val="19"/>
          <w:szCs w:val="19"/>
          <w:color w:val="auto"/>
        </w:rPr>
        <w:t>time amended, restated, supplemented or otherwise modified (subject to any restrictions on such amendments, restatements, supplements or</w:t>
      </w:r>
    </w:p>
    <w:p>
      <w:pPr>
        <w:spacing w:after="0" w:line="216" w:lineRule="auto"/>
        <w:rPr>
          <w:sz w:val="20"/>
          <w:szCs w:val="20"/>
          <w:color w:val="auto"/>
        </w:rPr>
      </w:pPr>
      <w:r>
        <w:rPr>
          <w:rFonts w:ascii="Times New Roman" w:cs="Times New Roman" w:eastAsia="Times New Roman" w:hAnsi="Times New Roman"/>
          <w:sz w:val="18"/>
          <w:szCs w:val="18"/>
          <w:color w:val="auto"/>
        </w:rPr>
        <w:t>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w:t>
      </w:r>
    </w:p>
    <w:p>
      <w:pPr>
        <w:spacing w:after="0" w:line="213" w:lineRule="auto"/>
        <w:rPr>
          <w:sz w:val="20"/>
          <w:szCs w:val="20"/>
          <w:color w:val="auto"/>
        </w:rPr>
      </w:pPr>
      <w:r>
        <w:rPr>
          <w:rFonts w:ascii="Times New Roman" w:cs="Times New Roman" w:eastAsia="Times New Roman" w:hAnsi="Times New Roman"/>
          <w:sz w:val="19"/>
          <w:szCs w:val="19"/>
          <w:color w:val="auto"/>
        </w:rPr>
        <w:t>“hereof” and “hereunder”, and words of similar import, shall be construed to refer to this Agreement in its entirety and not to any particular</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refer to any and all tangible and intangible assets and properties, including cash, securities, accounts and contract rights.</w:t>
      </w:r>
    </w:p>
    <w:p>
      <w:pPr>
        <w:spacing w:after="0" w:line="16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1.04. </w:t>
      </w:r>
      <w:r>
        <w:rPr>
          <w:rFonts w:ascii="Times New Roman" w:cs="Times New Roman" w:eastAsia="Times New Roman" w:hAnsi="Times New Roman"/>
          <w:sz w:val="19"/>
          <w:szCs w:val="19"/>
          <w:u w:val="single" w:color="auto"/>
          <w:color w:val="000000"/>
        </w:rPr>
        <w:t>Accounting Terms; GAAP; Pro Forma Calculations</w:t>
      </w:r>
      <w:r>
        <w:rPr>
          <w:rFonts w:ascii="Times New Roman" w:cs="Times New Roman" w:eastAsia="Times New Roman" w:hAnsi="Times New Roman"/>
          <w:sz w:val="19"/>
          <w:szCs w:val="19"/>
          <w:color w:val="000000"/>
        </w:rPr>
        <w:t>. (a) Except as otherwise expressly provided herein, 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if the Borrower</w:t>
      </w:r>
    </w:p>
    <w:p>
      <w:pPr>
        <w:spacing w:after="0" w:line="213" w:lineRule="auto"/>
        <w:rPr>
          <w:sz w:val="20"/>
          <w:szCs w:val="20"/>
          <w:color w:val="auto"/>
        </w:rPr>
      </w:pPr>
      <w:r>
        <w:rPr>
          <w:rFonts w:ascii="Times New Roman" w:cs="Times New Roman" w:eastAsia="Times New Roman" w:hAnsi="Times New Roman"/>
          <w:sz w:val="19"/>
          <w:szCs w:val="19"/>
          <w:color w:val="auto"/>
        </w:rPr>
        <w:t>notifies the Administrative Agent that the Borrower requests an amendment to any provision hereof to eliminate the effect of any change occurring</w:t>
      </w:r>
    </w:p>
    <w:p>
      <w:pPr>
        <w:spacing w:after="0" w:line="216" w:lineRule="auto"/>
        <w:rPr>
          <w:sz w:val="20"/>
          <w:szCs w:val="20"/>
          <w:color w:val="auto"/>
        </w:rPr>
      </w:pPr>
      <w:r>
        <w:rPr>
          <w:rFonts w:ascii="Times New Roman" w:cs="Times New Roman" w:eastAsia="Times New Roman" w:hAnsi="Times New Roman"/>
          <w:sz w:val="18"/>
          <w:szCs w:val="18"/>
          <w:color w:val="auto"/>
        </w:rPr>
        <w:t>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w:t>
      </w:r>
    </w:p>
    <w:p>
      <w:pPr>
        <w:spacing w:after="0" w:line="213" w:lineRule="auto"/>
        <w:rPr>
          <w:sz w:val="20"/>
          <w:szCs w:val="20"/>
          <w:color w:val="auto"/>
        </w:rPr>
      </w:pPr>
      <w:r>
        <w:rPr>
          <w:rFonts w:ascii="Times New Roman" w:cs="Times New Roman" w:eastAsia="Times New Roman" w:hAnsi="Times New Roman"/>
          <w:sz w:val="19"/>
          <w:szCs w:val="19"/>
          <w:color w:val="auto"/>
        </w:rPr>
        <w:t>after such change in GAAP or in the application thereof, then such provision shall be interpreted on the basis of GAAP as in effect and applied</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immediately before such change shall have become effective until such notice shall have been withdrawn or such provision amended in accordance herewith but only to the extent that, without undue burden or expense, the Borrower, its auditors and/or its financial systems are capable of</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interpreting such provisions as if such change in GAAP had not occurred;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further, that in the event that the Borrower requests such an</w:t>
      </w:r>
    </w:p>
    <w:p>
      <w:pPr>
        <w:spacing w:after="0" w:line="205" w:lineRule="auto"/>
        <w:rPr>
          <w:sz w:val="20"/>
          <w:szCs w:val="20"/>
          <w:color w:val="auto"/>
        </w:rPr>
      </w:pPr>
      <w:r>
        <w:rPr>
          <w:rFonts w:ascii="Times New Roman" w:cs="Times New Roman" w:eastAsia="Times New Roman" w:hAnsi="Times New Roman"/>
          <w:sz w:val="19"/>
          <w:szCs w:val="19"/>
          <w:color w:val="auto"/>
        </w:rPr>
        <w:t>amendment, the Administrative Agent and the Required Lenders shall negotiate in good faith to evaluate such proposed amendment. Notwithstanding any other provision contained herein, all terms of an accounting or financial nature used herein shall be construed, and all</w:t>
      </w:r>
    </w:p>
    <w:p>
      <w:pPr>
        <w:spacing w:after="0" w:line="213" w:lineRule="auto"/>
        <w:rPr>
          <w:sz w:val="20"/>
          <w:szCs w:val="20"/>
          <w:color w:val="auto"/>
        </w:rPr>
      </w:pPr>
      <w:r>
        <w:rPr>
          <w:rFonts w:ascii="Times New Roman" w:cs="Times New Roman" w:eastAsia="Times New Roman" w:hAnsi="Times New Roman"/>
          <w:sz w:val="19"/>
          <w:szCs w:val="19"/>
          <w:color w:val="auto"/>
        </w:rPr>
        <w:t>computations of amounts and ratios referred to herein shall be (i) made without giving effect to any election under Accounting Standards</w:t>
      </w:r>
    </w:p>
    <w:p>
      <w:pPr>
        <w:spacing w:after="0" w:line="216" w:lineRule="auto"/>
        <w:rPr>
          <w:sz w:val="20"/>
          <w:szCs w:val="20"/>
          <w:color w:val="auto"/>
        </w:rPr>
      </w:pPr>
      <w:r>
        <w:rPr>
          <w:rFonts w:ascii="Times New Roman" w:cs="Times New Roman" w:eastAsia="Times New Roman" w:hAnsi="Times New Roman"/>
          <w:sz w:val="18"/>
          <w:szCs w:val="18"/>
          <w:color w:val="auto"/>
        </w:rPr>
        <w:t>Codification 825-10-25 (or any other Accounting Standards Codification or Financial Accounting Standard having a similar result or effect) to value any Indebtedness or other liabilities of the Borrower or any Subsidiary at “fair value”, as defined therein and (ii) made without giving effect to any</w:t>
      </w:r>
    </w:p>
    <w:p>
      <w:pPr>
        <w:spacing w:after="0" w:line="213" w:lineRule="auto"/>
        <w:rPr>
          <w:sz w:val="20"/>
          <w:szCs w:val="20"/>
          <w:color w:val="auto"/>
        </w:rPr>
      </w:pPr>
      <w:r>
        <w:rPr>
          <w:rFonts w:ascii="Times New Roman" w:cs="Times New Roman" w:eastAsia="Times New Roman" w:hAnsi="Times New Roman"/>
          <w:sz w:val="19"/>
          <w:szCs w:val="19"/>
          <w:color w:val="auto"/>
        </w:rPr>
        <w:t>treatment of Indebtedness in respect of convertible debt instruments under Accounting Standards Codification 470-20 (or any other Accounting</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9" w:lineRule="exact"/>
        <w:rPr>
          <w:sz w:val="20"/>
          <w:szCs w:val="20"/>
          <w:color w:val="auto"/>
        </w:rPr>
      </w:pPr>
    </w:p>
    <w:p>
      <w:pPr>
        <w:jc w:val="both"/>
        <w:ind w:firstLine="1241"/>
        <w:spacing w:after="0" w:line="254" w:lineRule="auto"/>
        <w:tabs>
          <w:tab w:leader="none" w:pos="154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pro forma computations required to be made hereunder giving effect to any acquisition or disposition</w:t>
      </w:r>
      <w:r>
        <w:rPr>
          <w:rFonts w:ascii="Times New Roman" w:cs="Times New Roman" w:eastAsia="Times New Roman" w:hAnsi="Times New Roman"/>
          <w:sz w:val="19"/>
          <w:szCs w:val="19"/>
          <w:color w:val="002060"/>
        </w:rPr>
        <w:t>,</w:t>
      </w:r>
      <w:r>
        <w:rPr>
          <w:rFonts w:ascii="Times New Roman" w:cs="Times New Roman" w:eastAsia="Times New Roman" w:hAnsi="Times New Roman"/>
          <w:sz w:val="19"/>
          <w:szCs w:val="19"/>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xliii</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w:t>
      </w:r>
      <w:r>
        <w:rPr>
          <w:rFonts w:ascii="Times New Roman" w:cs="Times New Roman" w:eastAsia="Times New Roman" w:hAnsi="Times New Roman"/>
          <w:sz w:val="19"/>
          <w:szCs w:val="19"/>
          <w:color w:val="002060"/>
        </w:rPr>
        <w:t>(a)</w:t>
      </w:r>
      <w:r>
        <w:rPr>
          <w:rFonts w:ascii="Times New Roman" w:cs="Times New Roman" w:eastAsia="Times New Roman" w:hAnsi="Times New Roman"/>
          <w:sz w:val="19"/>
          <w:szCs w:val="19"/>
          <w:color w:val="auto"/>
        </w:rPr>
        <w: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61"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1.05. </w:t>
      </w:r>
      <w:r>
        <w:rPr>
          <w:rFonts w:ascii="Times New Roman" w:cs="Times New Roman" w:eastAsia="Times New Roman" w:hAnsi="Times New Roman"/>
          <w:sz w:val="19"/>
          <w:szCs w:val="19"/>
          <w:u w:val="single" w:color="auto"/>
          <w:color w:val="000000"/>
        </w:rPr>
        <w:t>Interest Rates; Benchmark Notification</w:t>
      </w:r>
      <w:r>
        <w:rPr>
          <w:rFonts w:ascii="Times New Roman" w:cs="Times New Roman" w:eastAsia="Times New Roman" w:hAnsi="Times New Roman"/>
          <w:sz w:val="19"/>
          <w:szCs w:val="19"/>
          <w:color w:val="000000"/>
        </w:rPr>
        <w:t>. The interest rate on a Loan denominated in dollars or a Foreign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Currency may be derived from an interest rate benchmark that may be discontinued or is, or may in the future become, the subject of regulatory</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reform. Upon the occurrence of a Benchmark Transition Event or a Term CORRA Reelection Event, Section 2.14(b) provides a mechanism for determining an alternative rate of interest. The Administrative Agent does not warrant or accept any responsibility for, and shall not have any</w:t>
      </w:r>
    </w:p>
    <w:p>
      <w:pPr>
        <w:spacing w:after="0" w:line="213" w:lineRule="auto"/>
        <w:rPr>
          <w:sz w:val="20"/>
          <w:szCs w:val="20"/>
          <w:color w:val="auto"/>
        </w:rPr>
      </w:pPr>
      <w:r>
        <w:rPr>
          <w:rFonts w:ascii="Times New Roman" w:cs="Times New Roman" w:eastAsia="Times New Roman" w:hAnsi="Times New Roman"/>
          <w:sz w:val="19"/>
          <w:szCs w:val="19"/>
          <w:color w:val="auto"/>
        </w:rPr>
        <w:t>liability with respect to, the administration, submission, performance or any other matter related to any interest rate used in this Agreement, or with</w:t>
      </w:r>
    </w:p>
    <w:p>
      <w:pPr>
        <w:jc w:val="both"/>
        <w:spacing w:after="0" w:line="205" w:lineRule="auto"/>
        <w:rPr>
          <w:sz w:val="20"/>
          <w:szCs w:val="20"/>
          <w:color w:val="auto"/>
        </w:rPr>
      </w:pPr>
      <w:r>
        <w:rPr>
          <w:rFonts w:ascii="Times New Roman" w:cs="Times New Roman" w:eastAsia="Times New Roman" w:hAnsi="Times New Roman"/>
          <w:sz w:val="19"/>
          <w:szCs w:val="19"/>
          <w:color w:val="auto"/>
        </w:rPr>
        <w:t>respect to any alternative or successor rate thereto, or replacement rate thereof, including without limitation, whether the composition or characteristics of any such alternative, successor or replacement reference rate will be similar to, or produce the same value or economic</w:t>
      </w:r>
    </w:p>
    <w:p>
      <w:pPr>
        <w:spacing w:after="0" w:line="213" w:lineRule="auto"/>
        <w:rPr>
          <w:sz w:val="20"/>
          <w:szCs w:val="20"/>
          <w:color w:val="auto"/>
        </w:rPr>
      </w:pPr>
      <w:r>
        <w:rPr>
          <w:rFonts w:ascii="Times New Roman" w:cs="Times New Roman" w:eastAsia="Times New Roman" w:hAnsi="Times New Roman"/>
          <w:sz w:val="19"/>
          <w:szCs w:val="19"/>
          <w:color w:val="auto"/>
        </w:rPr>
        <w:t>equivalence of, the existing interest rate being replaced or have the same volume or liquidity as did any existing interest rate prior to its</w:t>
      </w:r>
    </w:p>
    <w:p>
      <w:pPr>
        <w:jc w:val="both"/>
        <w:spacing w:after="0" w:line="205" w:lineRule="auto"/>
        <w:rPr>
          <w:sz w:val="20"/>
          <w:szCs w:val="20"/>
          <w:color w:val="auto"/>
        </w:rPr>
      </w:pPr>
      <w:r>
        <w:rPr>
          <w:rFonts w:ascii="Times New Roman" w:cs="Times New Roman" w:eastAsia="Times New Roman" w:hAnsi="Times New Roman"/>
          <w:sz w:val="19"/>
          <w:szCs w:val="19"/>
          <w:color w:val="auto"/>
        </w:rPr>
        <w:t>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w:t>
      </w:r>
    </w:p>
    <w:p>
      <w:pPr>
        <w:spacing w:after="0" w:line="213" w:lineRule="auto"/>
        <w:rPr>
          <w:sz w:val="20"/>
          <w:szCs w:val="20"/>
          <w:color w:val="auto"/>
        </w:rPr>
      </w:pPr>
      <w:r>
        <w:rPr>
          <w:rFonts w:ascii="Times New Roman" w:cs="Times New Roman" w:eastAsia="Times New Roman" w:hAnsi="Times New Roman"/>
          <w:sz w:val="19"/>
          <w:szCs w:val="19"/>
          <w:color w:val="auto"/>
        </w:rPr>
        <w:t>and/or any relevant adjustments thereto, in each case, in a manner adverse to the Borrower. The Administrative Agent may select information</w:t>
      </w:r>
    </w:p>
    <w:p>
      <w:pPr>
        <w:jc w:val="both"/>
        <w:spacing w:after="0" w:line="205" w:lineRule="auto"/>
        <w:rPr>
          <w:sz w:val="20"/>
          <w:szCs w:val="20"/>
          <w:color w:val="auto"/>
        </w:rPr>
      </w:pPr>
      <w:r>
        <w:rPr>
          <w:rFonts w:ascii="Times New Roman" w:cs="Times New Roman" w:eastAsia="Times New Roman" w:hAnsi="Times New Roman"/>
          <w:sz w:val="19"/>
          <w:szCs w:val="19"/>
          <w:color w:val="auto"/>
        </w:rPr>
        <w:t>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w:t>
      </w:r>
    </w:p>
    <w:p>
      <w:pPr>
        <w:spacing w:after="0" w:line="213" w:lineRule="auto"/>
        <w:rPr>
          <w:sz w:val="20"/>
          <w:szCs w:val="20"/>
          <w:color w:val="auto"/>
        </w:rPr>
      </w:pPr>
      <w:r>
        <w:rPr>
          <w:rFonts w:ascii="Times New Roman" w:cs="Times New Roman" w:eastAsia="Times New Roman" w:hAnsi="Times New Roman"/>
          <w:sz w:val="19"/>
          <w:szCs w:val="19"/>
          <w:color w:val="auto"/>
        </w:rPr>
        <w:t>person or entity for damages of any kind, including direct or indirect, special, punitive, incidental or consequential damages, costs, losses or</w:t>
      </w:r>
    </w:p>
    <w:p>
      <w:pPr>
        <w:jc w:val="both"/>
        <w:spacing w:after="0" w:line="222" w:lineRule="auto"/>
        <w:rPr>
          <w:sz w:val="20"/>
          <w:szCs w:val="20"/>
          <w:color w:val="auto"/>
        </w:rPr>
      </w:pPr>
      <w:r>
        <w:rPr>
          <w:rFonts w:ascii="Times New Roman" w:cs="Times New Roman" w:eastAsia="Times New Roman" w:hAnsi="Times New Roman"/>
          <w:sz w:val="19"/>
          <w:szCs w:val="19"/>
          <w:color w:val="auto"/>
        </w:rPr>
        <w:t>expenses (whether in tort, contract or otherwise and whether at law or in equity), for any error or calculation of any such rate (or component thereof) provided by any such information source or service.</w:t>
      </w:r>
    </w:p>
    <w:p>
      <w:pPr>
        <w:spacing w:after="0" w:line="15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1.06.</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 Unless otherwise specified herein, the amount of a Letter of Credit at any time</w:t>
      </w: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shall be deemed to be the Dollar Amount of the stated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other agreement related thereto, provides for one or more automatic increases in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43"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1.07. </w:t>
      </w:r>
      <w:r>
        <w:rPr>
          <w:rFonts w:ascii="Times New Roman" w:cs="Times New Roman" w:eastAsia="Times New Roman" w:hAnsi="Times New Roman"/>
          <w:sz w:val="19"/>
          <w:szCs w:val="19"/>
          <w:u w:val="single" w:color="auto"/>
          <w:color w:val="000000"/>
        </w:rPr>
        <w:t>Divisions</w:t>
      </w:r>
      <w:r>
        <w:rPr>
          <w:rFonts w:ascii="Times New Roman" w:cs="Times New Roman" w:eastAsia="Times New Roman" w:hAnsi="Times New Roman"/>
          <w:sz w:val="19"/>
          <w:szCs w:val="19"/>
          <w:color w:val="000000"/>
        </w:rPr>
        <w:t>. For all purposes under the Loan Documents, in connection with any division or plan of division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 Delaware law (or any comparable event under a different jurisdiction’s laws): (a) if any asset, right, obligation or liability of any Person</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xliv</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9"/>
          <w:szCs w:val="19"/>
          <w:color w:val="010000"/>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The Credits</w:t>
      </w:r>
    </w:p>
    <w:p>
      <w:pPr>
        <w:spacing w:after="0" w:line="91"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2.01. </w:t>
      </w:r>
      <w:r>
        <w:rPr>
          <w:rFonts w:ascii="Times New Roman" w:cs="Times New Roman" w:eastAsia="Times New Roman" w:hAnsi="Times New Roman"/>
          <w:sz w:val="19"/>
          <w:szCs w:val="19"/>
          <w:u w:val="single" w:color="auto"/>
          <w:color w:val="000000"/>
        </w:rPr>
        <w:t>Commitments</w:t>
      </w:r>
      <w:r>
        <w:rPr>
          <w:rFonts w:ascii="Times New Roman" w:cs="Times New Roman" w:eastAsia="Times New Roman" w:hAnsi="Times New Roman"/>
          <w:sz w:val="19"/>
          <w:szCs w:val="19"/>
          <w:color w:val="000000"/>
        </w:rPr>
        <w:t>. Subject to the terms and conditions set forth herein, each Lender, severally and not jointly,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agrees to make Loans to the Borrower in Agreed Currencies from time to time during the Availability Period in an aggregate principal amount that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will not result in (a) subject to Sections 2.04 and 2.11(b), the Dollar Amount of such Lender’s Revolving Credit Exposure exceeding such Lender’s Commitment, (b) subject to Sections 2.04 and 2.11(b), the Dollar Amount of the Total Revolving Credit Exposure exceeding the Aggregate</w:t>
      </w:r>
    </w:p>
    <w:p>
      <w:pPr>
        <w:spacing w:after="0" w:line="213" w:lineRule="auto"/>
        <w:rPr>
          <w:sz w:val="20"/>
          <w:szCs w:val="20"/>
          <w:color w:val="auto"/>
        </w:rPr>
      </w:pPr>
      <w:r>
        <w:rPr>
          <w:rFonts w:ascii="Times New Roman" w:cs="Times New Roman" w:eastAsia="Times New Roman" w:hAnsi="Times New Roman"/>
          <w:sz w:val="19"/>
          <w:szCs w:val="19"/>
          <w:color w:val="auto"/>
        </w:rPr>
        <w:t>Commitment or (c) subject to Sections 2.04 and 2.11(b), the Dollar Amount of the total outstanding Loans and LC Exposure, in each case</w:t>
      </w:r>
    </w:p>
    <w:p>
      <w:pPr>
        <w:spacing w:after="0" w:line="222" w:lineRule="auto"/>
        <w:rPr>
          <w:sz w:val="20"/>
          <w:szCs w:val="20"/>
          <w:color w:val="auto"/>
        </w:rPr>
      </w:pPr>
      <w:r>
        <w:rPr>
          <w:rFonts w:ascii="Times New Roman" w:cs="Times New Roman" w:eastAsia="Times New Roman" w:hAnsi="Times New Roman"/>
          <w:sz w:val="19"/>
          <w:szCs w:val="19"/>
          <w:color w:val="auto"/>
        </w:rPr>
        <w:t>denominated in Foreign Currencies, exceeding the Foreign Currency Sublimit. Within the foregoing limits and subject to the terms and conditions set forth herein, the Borrower may borrow, prepay and reborrow Loans.</w:t>
      </w:r>
    </w:p>
    <w:p>
      <w:pPr>
        <w:spacing w:after="0" w:line="151"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2.02.</w:t>
      </w:r>
      <w:r>
        <w:rPr>
          <w:sz w:val="20"/>
          <w:szCs w:val="20"/>
          <w:color w:val="auto"/>
        </w:rPr>
        <w:tab/>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(a) Each Loan shall be made as part of a Borrowing consisting of Loans of the same</w:t>
      </w:r>
    </w:p>
    <w:p>
      <w:pPr>
        <w:spacing w:after="0" w:line="205" w:lineRule="auto"/>
        <w:rPr>
          <w:sz w:val="20"/>
          <w:szCs w:val="20"/>
          <w:color w:val="auto"/>
        </w:rPr>
      </w:pPr>
      <w:r>
        <w:rPr>
          <w:rFonts w:ascii="Times New Roman" w:cs="Times New Roman" w:eastAsia="Times New Roman" w:hAnsi="Times New Roman"/>
          <w:sz w:val="19"/>
          <w:szCs w:val="19"/>
          <w:color w:val="auto"/>
        </w:rPr>
        <w:t xml:space="preserve">Type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be responsible for any other Lender’s failure to make Loans as required.</w:t>
      </w:r>
    </w:p>
    <w:p>
      <w:pPr>
        <w:spacing w:after="0" w:line="161" w:lineRule="exact"/>
        <w:rPr>
          <w:sz w:val="20"/>
          <w:szCs w:val="20"/>
          <w:color w:val="auto"/>
        </w:rPr>
      </w:pPr>
    </w:p>
    <w:p>
      <w:pPr>
        <w:jc w:val="both"/>
        <w:ind w:firstLine="1241"/>
        <w:spacing w:after="0" w:line="214" w:lineRule="auto"/>
        <w:tabs>
          <w:tab w:leader="none" w:pos="1847"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Section 2.14, each Borrowing shall be comprised, in the case of Borrowings in Dollars, entirely of ABR Loans or Term Benchmark Loans and , in the case of Borrowings in any other Agreed Currency, entirely of Term Benchmark Loans or RFR Loans, as applicable, in each case of the same Agreed Currency, as the Borrower may request in accordance 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ABR Loan shall only be made in Dollars. Each Lender at its option may make any Loan by causing any domestic or foreign branch or Affiliate of such Lender to make such Loan (and the provisions of Sections 2.14, 2.15, 2.16 and 2.17 shall apply to such branch or Affiliate to the same extent as to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157" w:lineRule="exact"/>
        <w:rPr>
          <w:rFonts w:ascii="Times New Roman" w:cs="Times New Roman" w:eastAsia="Times New Roman" w:hAnsi="Times New Roman"/>
          <w:sz w:val="19"/>
          <w:szCs w:val="19"/>
          <w:color w:val="010000"/>
        </w:rPr>
      </w:pPr>
    </w:p>
    <w:p>
      <w:pPr>
        <w:jc w:val="both"/>
        <w:ind w:firstLine="1241"/>
        <w:spacing w:after="0" w:line="215" w:lineRule="auto"/>
        <w:tabs>
          <w:tab w:leader="none" w:pos="1844"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At the commencement of each Interest Period for any Term Benchmark Borrowing, such Borrowing shall be in an aggregate amount that is an integral multiple of $1,000,000 and not less than $5,000,000 (or, if such Borrowing is denominated in a Foreign Currency, the corresponding Dollar Amount). At the time that each ABR Borrowing and/or RFR Borrowing is made, such Borrowing shall be in an aggregate amount that is an integral multiple of $1,000,000 and not less than $5,000,000 (or, if such Borrowing is denominated in a Foreign Currency, the corresponding Dollar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ABR Borrowing may be in an aggregate amount that is equal to the entire unused balance of the Aggregate Commitment or that is required to finance the reimbursement of an LC Disbursement as contemplated by Section 2.06(e). Borrowings of more than one Type may be 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at any time be more than a total of ten (10) Term Benchmark Borrowings or RFR Borrowings outstanding.</w:t>
      </w:r>
    </w:p>
    <w:p>
      <w:pPr>
        <w:spacing w:after="0" w:line="148" w:lineRule="exact"/>
        <w:rPr>
          <w:rFonts w:ascii="Times New Roman" w:cs="Times New Roman" w:eastAsia="Times New Roman" w:hAnsi="Times New Roman"/>
          <w:sz w:val="19"/>
          <w:szCs w:val="19"/>
          <w:color w:val="010000"/>
        </w:rPr>
      </w:pPr>
    </w:p>
    <w:p>
      <w:pPr>
        <w:ind w:firstLine="1241"/>
        <w:spacing w:after="0"/>
        <w:tabs>
          <w:tab w:leader="none" w:pos="1847"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6"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2.03. </w:t>
      </w:r>
      <w:r>
        <w:rPr>
          <w:rFonts w:ascii="Times New Roman" w:cs="Times New Roman" w:eastAsia="Times New Roman" w:hAnsi="Times New Roman"/>
          <w:sz w:val="19"/>
          <w:szCs w:val="19"/>
          <w:u w:val="single" w:color="auto"/>
          <w:color w:val="000000"/>
        </w:rPr>
        <w:t>Requests for Borrowings</w:t>
      </w:r>
      <w:r>
        <w:rPr>
          <w:rFonts w:ascii="Times New Roman" w:cs="Times New Roman" w:eastAsia="Times New Roman" w:hAnsi="Times New Roman"/>
          <w:sz w:val="19"/>
          <w:szCs w:val="19"/>
          <w:color w:val="000000"/>
        </w:rPr>
        <w:t>. To request a Borrowing, the Borrower shall notify the Administrative Agent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such request by irrevocable written notice (via a written Borrowing Request signed by the Borrower) (a)(i) in the case of a Term Benchmark</w:t>
      </w:r>
    </w:p>
    <w:p>
      <w:pPr>
        <w:spacing w:after="0" w:line="213" w:lineRule="auto"/>
        <w:rPr>
          <w:sz w:val="20"/>
          <w:szCs w:val="20"/>
          <w:color w:val="auto"/>
        </w:rPr>
      </w:pPr>
      <w:r>
        <w:rPr>
          <w:rFonts w:ascii="Times New Roman" w:cs="Times New Roman" w:eastAsia="Times New Roman" w:hAnsi="Times New Roman"/>
          <w:sz w:val="19"/>
          <w:szCs w:val="19"/>
          <w:color w:val="auto"/>
        </w:rPr>
        <w:t>Borrowing denominated in Dollars, not later than 11:00 a.m., New York City time, three (3) Business Days before the date of the proposed</w:t>
      </w:r>
    </w:p>
    <w:p>
      <w:pPr>
        <w:spacing w:after="0" w:line="216" w:lineRule="auto"/>
        <w:rPr>
          <w:sz w:val="20"/>
          <w:szCs w:val="20"/>
          <w:color w:val="auto"/>
        </w:rPr>
      </w:pPr>
      <w:r>
        <w:rPr>
          <w:rFonts w:ascii="Times New Roman" w:cs="Times New Roman" w:eastAsia="Times New Roman" w:hAnsi="Times New Roman"/>
          <w:sz w:val="18"/>
          <w:szCs w:val="18"/>
          <w:color w:val="auto"/>
        </w:rPr>
        <w:t xml:space="preserve">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Term Benchmark Borrowing denominated in Dollars to be made on the Effective Date, such request shall be delivered to the Administrative Agent not later than 11:00 a.m., New York City time, one (1) Business Day before the Effective Date, (ii) in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the case of a Term Benchmark Borrowing denominated in Canadian Dollars or Euros, not later than 12:00 p.m., New York City time, three Business Days before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proposed Borrowing, (iii) in the case of an RFR Borrowing denominated in Sterling, not later than 11:00 a.m., New York City time, four RFR Business Days before the date of the proposed Borrowing, and (iv) in the case of an RFR Borrowing denominated in Canadian Dollars, not later</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than 12:00 p.m., New York City time, five (5) RFR Business Days before the date of the proposed Borrowing, or (b) in the case of an ABR Borrowing, not later than 1:00 p.m., New York City time, on the date of the proposed Borrowing;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such notice of an ABR</w:t>
      </w:r>
    </w:p>
    <w:p>
      <w:pPr>
        <w:spacing w:after="0" w:line="213" w:lineRule="auto"/>
        <w:rPr>
          <w:sz w:val="20"/>
          <w:szCs w:val="20"/>
          <w:color w:val="auto"/>
        </w:rPr>
      </w:pPr>
      <w:r>
        <w:rPr>
          <w:rFonts w:ascii="Times New Roman" w:cs="Times New Roman" w:eastAsia="Times New Roman" w:hAnsi="Times New Roman"/>
          <w:sz w:val="19"/>
          <w:szCs w:val="19"/>
          <w:color w:val="auto"/>
        </w:rPr>
        <w:t>Borrowing to finance the reimbursement of an LC Disbursement as contemplated by Section 2.06(e) may be given not later than 10:00 a.m., New</w:t>
      </w:r>
    </w:p>
    <w:p>
      <w:pPr>
        <w:spacing w:after="0" w:line="198" w:lineRule="auto"/>
        <w:rPr>
          <w:sz w:val="20"/>
          <w:szCs w:val="20"/>
          <w:color w:val="auto"/>
        </w:rPr>
      </w:pPr>
      <w:r>
        <w:rPr>
          <w:rFonts w:ascii="Times New Roman" w:cs="Times New Roman" w:eastAsia="Times New Roman" w:hAnsi="Times New Roman"/>
          <w:sz w:val="19"/>
          <w:szCs w:val="19"/>
          <w:color w:val="auto"/>
        </w:rPr>
        <w:t>York City time, on the date of the proposed Borrowing. Each such Borrowing Request shall be irrevocable. Each such telephonic and written</w:t>
      </w:r>
    </w:p>
    <w:p>
      <w:pPr>
        <w:spacing w:after="0"/>
        <w:rPr>
          <w:sz w:val="20"/>
          <w:szCs w:val="20"/>
          <w:color w:val="auto"/>
        </w:rPr>
      </w:pPr>
      <w:r>
        <w:rPr>
          <w:rFonts w:ascii="Times New Roman" w:cs="Times New Roman" w:eastAsia="Times New Roman" w:hAnsi="Times New Roman"/>
          <w:sz w:val="19"/>
          <w:szCs w:val="19"/>
          <w:color w:val="auto"/>
        </w:rPr>
        <w:t>Borrowing Request shall specify the following information in compliance with Section 2.02:</w:t>
      </w:r>
    </w:p>
    <w:p>
      <w:pPr>
        <w:spacing w:after="0" w:line="161" w:lineRule="exact"/>
        <w:rPr>
          <w:sz w:val="20"/>
          <w:szCs w:val="20"/>
          <w:color w:val="auto"/>
        </w:rPr>
      </w:pPr>
    </w:p>
    <w:p>
      <w:pPr>
        <w:ind w:left="1860" w:hanging="619"/>
        <w:spacing w:after="0"/>
        <w:tabs>
          <w:tab w:leader="none" w:pos="18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Agreed Currency and aggregate principal amount of the requested Borrowing;</w:t>
      </w:r>
    </w:p>
    <w:p>
      <w:pPr>
        <w:spacing w:after="0" w:line="181"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date of such Borrowing, which shall be a Business Day;</w:t>
      </w:r>
    </w:p>
    <w:p>
      <w:pPr>
        <w:spacing w:after="0" w:line="168"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whether such Borrowing is to be an ABR Borrowing, a Term Benchmark Borrowing or an RFR Borrowing;</w:t>
      </w:r>
    </w:p>
    <w:p>
      <w:pPr>
        <w:spacing w:after="0" w:line="181" w:lineRule="exact"/>
        <w:rPr>
          <w:rFonts w:ascii="Times New Roman" w:cs="Times New Roman" w:eastAsia="Times New Roman" w:hAnsi="Times New Roman"/>
          <w:sz w:val="19"/>
          <w:szCs w:val="19"/>
          <w:color w:val="010000"/>
        </w:rPr>
      </w:pPr>
    </w:p>
    <w:p>
      <w:pPr>
        <w:ind w:left="620" w:firstLine="621"/>
        <w:spacing w:after="0" w:line="233" w:lineRule="auto"/>
        <w:tabs>
          <w:tab w:leader="none" w:pos="1847"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Term Benchmark Borrowing, the initial Interest Period to be applicable thereto, which shall be a period contemplated by the definition of the term “Interest Period”; and</w:t>
      </w:r>
    </w:p>
    <w:p>
      <w:pPr>
        <w:spacing w:after="0" w:line="155" w:lineRule="exact"/>
        <w:rPr>
          <w:rFonts w:ascii="Times New Roman" w:cs="Times New Roman" w:eastAsia="Times New Roman" w:hAnsi="Times New Roman"/>
          <w:sz w:val="19"/>
          <w:szCs w:val="19"/>
          <w:color w:val="010000"/>
        </w:rPr>
      </w:pPr>
    </w:p>
    <w:p>
      <w:pPr>
        <w:ind w:left="620" w:firstLine="621"/>
        <w:spacing w:after="0"/>
        <w:tabs>
          <w:tab w:leader="none" w:pos="1846"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location and number of the Borrower’s account to which funds are to be disbursed, which shall comply with the requirements of Section 2.07.</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If no election as to the currency of a Borrowing is specified, then the requested Revolving Borrowing shall be made in Dollars. If no election as to the Type of Borrowing is specified, then the requested Borrowing shall be an ABR Borrowing made in Dollars.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4"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2.04.</w:t>
      </w:r>
      <w:r>
        <w:rPr>
          <w:sz w:val="20"/>
          <w:szCs w:val="20"/>
          <w:color w:val="auto"/>
        </w:rPr>
        <w:tab/>
      </w:r>
      <w:r>
        <w:rPr>
          <w:rFonts w:ascii="Times New Roman" w:cs="Times New Roman" w:eastAsia="Times New Roman" w:hAnsi="Times New Roman"/>
          <w:sz w:val="18"/>
          <w:szCs w:val="18"/>
          <w:u w:val="single" w:color="auto"/>
          <w:color w:val="auto"/>
        </w:rPr>
        <w:t>Determination of Dollar Amounts</w:t>
      </w:r>
      <w:r>
        <w:rPr>
          <w:rFonts w:ascii="Times New Roman" w:cs="Times New Roman" w:eastAsia="Times New Roman" w:hAnsi="Times New Roman"/>
          <w:sz w:val="18"/>
          <w:szCs w:val="18"/>
          <w:color w:val="auto"/>
        </w:rPr>
        <w:t>. The Administrative Agent will determine the Dollar Amount of:</w:t>
      </w:r>
    </w:p>
    <w:p>
      <w:pPr>
        <w:spacing w:after="0" w:line="181" w:lineRule="exact"/>
        <w:rPr>
          <w:sz w:val="20"/>
          <w:szCs w:val="20"/>
          <w:color w:val="auto"/>
        </w:rPr>
      </w:pPr>
    </w:p>
    <w:p>
      <w:pPr>
        <w:jc w:val="both"/>
        <w:ind w:firstLine="1241"/>
        <w:spacing w:after="0" w:line="226" w:lineRule="auto"/>
        <w:tabs>
          <w:tab w:leader="none" w:pos="1847"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each Term Benchmark Borrowing and RFR Borrowing as of the date of such Borrowing and (ii) (x) with respect to any Term Benchmark Borrowing, the date of conversion/continuation of any Borrowing as a Term Benchmark Borrowing and (y) with respect to any RFR Borrowing, as of the last Business Day of each calendar quarter, and</w:t>
      </w:r>
    </w:p>
    <w:p>
      <w:pPr>
        <w:spacing w:after="0" w:line="156" w:lineRule="exact"/>
        <w:rPr>
          <w:rFonts w:ascii="Times New Roman" w:cs="Times New Roman" w:eastAsia="Times New Roman" w:hAnsi="Times New Roman"/>
          <w:sz w:val="19"/>
          <w:szCs w:val="19"/>
          <w:color w:val="010000"/>
        </w:rPr>
      </w:pPr>
    </w:p>
    <w:p>
      <w:pPr>
        <w:ind w:firstLine="1241"/>
        <w:spacing w:after="0"/>
        <w:tabs>
          <w:tab w:leader="none" w:pos="1844"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LC Exposure as of (i) the date of each request for the issuance, amendment (including any amendment that has the effect of increasing the face amount thereof), renewal or extension of any Letter of Credit and (ii) the first Business Day of each calendar month</w:t>
      </w:r>
    </w:p>
    <w:p>
      <w:pPr>
        <w:spacing w:after="0" w:line="156" w:lineRule="exact"/>
        <w:rPr>
          <w:sz w:val="20"/>
          <w:szCs w:val="20"/>
          <w:color w:val="auto"/>
        </w:rPr>
      </w:pPr>
    </w:p>
    <w:p>
      <w:pPr>
        <w:ind w:firstLine="1238"/>
        <w:spacing w:after="0" w:line="283" w:lineRule="auto"/>
        <w:rPr>
          <w:sz w:val="20"/>
          <w:szCs w:val="20"/>
          <w:color w:val="auto"/>
        </w:rPr>
      </w:pPr>
      <w:r>
        <w:rPr>
          <w:rFonts w:ascii="Times New Roman" w:cs="Times New Roman" w:eastAsia="Times New Roman" w:hAnsi="Times New Roman"/>
          <w:sz w:val="19"/>
          <w:szCs w:val="19"/>
          <w:color w:val="auto"/>
        </w:rPr>
        <w:t>Each day upon or as of which the Administrative Agent determines Dollar Amounts as described in the preceding clauses (a) and (b) is herein described as a “</w:t>
      </w:r>
      <w:r>
        <w:rPr>
          <w:rFonts w:ascii="Times New Roman" w:cs="Times New Roman" w:eastAsia="Times New Roman" w:hAnsi="Times New Roman"/>
          <w:sz w:val="19"/>
          <w:szCs w:val="19"/>
          <w:u w:val="single" w:color="auto"/>
          <w:color w:val="auto"/>
        </w:rPr>
        <w:t>Computation Date</w:t>
      </w:r>
      <w:r>
        <w:rPr>
          <w:rFonts w:ascii="Times New Roman" w:cs="Times New Roman" w:eastAsia="Times New Roman" w:hAnsi="Times New Roman"/>
          <w:sz w:val="19"/>
          <w:szCs w:val="19"/>
          <w:color w:val="auto"/>
        </w:rPr>
        <w:t>” with respect to each Credit Event for which a Dollar Amount is determined on or as of such day.</w:t>
      </w:r>
    </w:p>
    <w:p>
      <w:pPr>
        <w:spacing w:after="0" w:line="142"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2.05.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firstLine="1238"/>
        <w:spacing w:after="0"/>
        <w:rPr>
          <w:sz w:val="20"/>
          <w:szCs w:val="20"/>
          <w:color w:val="auto"/>
        </w:rPr>
      </w:pPr>
      <w:r>
        <w:rPr>
          <w:rFonts w:ascii="Times New Roman" w:cs="Times New Roman" w:eastAsia="Times New Roman" w:hAnsi="Times New Roman"/>
          <w:sz w:val="19"/>
          <w:szCs w:val="19"/>
          <w:color w:val="010000"/>
        </w:rPr>
        <w:t xml:space="preserve">SECTION 2.06. </w:t>
      </w:r>
      <w:r>
        <w:rPr>
          <w:rFonts w:ascii="Times New Roman" w:cs="Times New Roman" w:eastAsia="Times New Roman" w:hAnsi="Times New Roman"/>
          <w:sz w:val="19"/>
          <w:szCs w:val="19"/>
          <w:u w:val="single" w:color="auto"/>
          <w:color w:val="000000"/>
        </w:rPr>
        <w:t>Letters of Credit</w:t>
      </w:r>
      <w:r>
        <w:rPr>
          <w:rFonts w:ascii="Times New Roman" w:cs="Times New Roman" w:eastAsia="Times New Roman" w:hAnsi="Times New Roman"/>
          <w:sz w:val="19"/>
          <w:szCs w:val="19"/>
          <w:color w:val="000000"/>
        </w:rPr>
        <w:t>. (a)</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General</w:t>
      </w:r>
      <w:r>
        <w:rPr>
          <w:rFonts w:ascii="Times New Roman" w:cs="Times New Roman" w:eastAsia="Times New Roman" w:hAnsi="Times New Roman"/>
          <w:sz w:val="19"/>
          <w:szCs w:val="19"/>
          <w:color w:val="000000"/>
        </w:rPr>
        <w:t>. Subject to the terms and conditions set forth herein, the Borrower may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request any Issuing Bank to issue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xlvi</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2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denominated in Agreed Currencies as the applicant thereof for the support of its or its Subsidiaries’ obligations, in a form reasonably acceptable to the Administrative Agent and such Issuing Bank, at any time and from time to time during the Availability Period. In the event of any inconsistency</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shall control.</w:t>
      </w:r>
    </w:p>
    <w:p>
      <w:pPr>
        <w:spacing w:after="0" w:line="161" w:lineRule="exact"/>
        <w:rPr>
          <w:sz w:val="20"/>
          <w:szCs w:val="20"/>
          <w:color w:val="auto"/>
        </w:rPr>
      </w:pPr>
    </w:p>
    <w:p>
      <w:pPr>
        <w:jc w:val="both"/>
        <w:ind w:firstLine="1241"/>
        <w:spacing w:after="0" w:line="210" w:lineRule="auto"/>
        <w:tabs>
          <w:tab w:leader="none" w:pos="1847" w:val="left"/>
        </w:tabs>
        <w:numPr>
          <w:ilvl w:val="1"/>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Issuance, Amendment, Renewal, Extension; Certain Conditions</w:t>
      </w:r>
      <w:r>
        <w:rPr>
          <w:rFonts w:ascii="Times New Roman" w:cs="Times New Roman" w:eastAsia="Times New Roman" w:hAnsi="Times New Roman"/>
          <w:sz w:val="19"/>
          <w:szCs w:val="19"/>
          <w:color w:val="auto"/>
        </w:rPr>
        <w:t xml:space="preserve">. To request the issuance of a Letter of Credit (or the amendment (including any amendment that has the effect of increasing the face amount thereof), renewal or extension of an outstanding Letter of Credit), the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in each case subject to Sections 2.04 and 2.11(b), (i) the sum of (x) the aggregate undrawn Dollar Amount of all outstanding Letters of Credit issued by any Issuing Bank at such time plus (y) the aggregate Dollar Amount of all LC Disbursements made by such Issuing Bank that have not yet been reimbursed by or on behalf of the Borrower at such time shall not exceed its Letter of Credit Commitment, (ii) the Dollar Amount of LC Exposure shall not exceed the total Letter of Credit Commitments, (iii) no Lender’s Dollar Amount of Revolving Credit Exposure shall exceed its Commitment and (iv) the Dollar Amount of the total outstanding Revolving Loans and LC Exposure, in each case denominated in Foreign Currencies, shall not exceed the Foreign Currency Sublimit (in each case of the foregoing clauses (i) through (iv), except in the case of an amendment reducing the amount of an outstanding Letter of Credit or shortening the expiration date of such Letter of Credit). The Borrower may, at any time and from time to time, reduce the Letter of Credit Commitment of any Issuing Bank with the consent of such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reduce the Letter of Credit commitment of any Issuing Bank if, after giving effect of such reduction, the conditions set forth in clauses (i) through (iv) of the preceding sentence shall not be satisfied.</w:t>
      </w:r>
    </w:p>
    <w:p>
      <w:pPr>
        <w:spacing w:after="0" w:line="162" w:lineRule="exact"/>
        <w:rPr>
          <w:rFonts w:ascii="Times New Roman" w:cs="Times New Roman" w:eastAsia="Times New Roman" w:hAnsi="Times New Roman"/>
          <w:sz w:val="19"/>
          <w:szCs w:val="19"/>
          <w:color w:val="010000"/>
        </w:rPr>
      </w:pPr>
    </w:p>
    <w:p>
      <w:pPr>
        <w:jc w:val="both"/>
        <w:ind w:firstLine="3"/>
        <w:spacing w:after="0" w:line="252" w:lineRule="auto"/>
        <w:tabs>
          <w:tab w:leader="none" w:pos="125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Issuing Bank shall not be under any obligation to issue any Letter of Credit if (i)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of such Letter of Credit would violate one or more policies of such Issuing Bank applicable to letters of credit generally and in effect as of the Effective Date.</w:t>
      </w:r>
    </w:p>
    <w:p>
      <w:pPr>
        <w:spacing w:after="0" w:line="175"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47"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Each Letter of Credit shall expire (or be subject to termination by notice from the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provided that if any amount is able to be drawn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xlvii</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expired Letter of Credit in accordance with the definition of “LC Exposure” following the date that is five (5) Business Days prior to the Maturity Date, the Borrower shall deposit cash collateral pursuant to Section 2.06(j) in an amount equal to the amount(s) able to be so drawn.</w:t>
      </w:r>
    </w:p>
    <w:p>
      <w:pPr>
        <w:spacing w:after="0" w:line="156" w:lineRule="exact"/>
        <w:rPr>
          <w:sz w:val="20"/>
          <w:szCs w:val="20"/>
          <w:color w:val="auto"/>
        </w:rPr>
      </w:pPr>
    </w:p>
    <w:p>
      <w:pPr>
        <w:jc w:val="both"/>
        <w:ind w:firstLine="1241"/>
        <w:spacing w:after="0" w:line="212" w:lineRule="auto"/>
        <w:tabs>
          <w:tab w:leader="none" w:pos="1844"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By the issuance of a Letter of Credit (or an amendment to a Letter of Credit increasing the amount thereof) and without any further action on the part of the relevant Issuing Bank or the Lenders, the relevant Issuing Bank hereby grants to each Lender, and each Lender hereby acquires from the relevant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59" w:lineRule="exact"/>
        <w:rPr>
          <w:rFonts w:ascii="Times New Roman" w:cs="Times New Roman" w:eastAsia="Times New Roman" w:hAnsi="Times New Roman"/>
          <w:sz w:val="19"/>
          <w:szCs w:val="19"/>
          <w:color w:val="010000"/>
        </w:rPr>
      </w:pPr>
    </w:p>
    <w:p>
      <w:pPr>
        <w:jc w:val="both"/>
        <w:ind w:firstLine="1241"/>
        <w:spacing w:after="0" w:line="209" w:lineRule="auto"/>
        <w:tabs>
          <w:tab w:leader="none" w:pos="1847"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the relevant Issuing Bank shall make any LC Disbursement in respect of a Letter of Credit, the Borrower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Borrower, in such other Agreed Currency which was paid by such Issuing Bank pursuant to such LC Disbursement in an amount equal to such LC Disbursement) not later than 1:00 p.m., Local Time, on the date that such LC Disbursement is made, if the Borrower shall have received notice of such LC Disbursement prior to 10:00 a.m., Local Time, on such date, or, if such notice has not been received by the Borrower prior to such time on such date, then not later than 1:00 p.m., Local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the Dollar Amount of $1,000,000, the Borrower may, subject to the conditions to borrowing set forth herein, request in accordance with Section 2.03 that such payment be financed with (i) to the extent such LC Disbursement was made in Dollars, an ABR Borrowing or Term Benchmark Borrowing in Dollars in an amount equal to such LC Disbursement or (i) to the extent such LC Disbursement was made in a Foreign Currency, a Term Benchmark Borrowing or RFR Borrowing in such Foreign Currency, as applicable, in an amount equal to such LC Disbursement and, in each case, to the extent so financed, the Borrower’s obligation to make such payment shall be discharged and replaced by the resulting ABR Borrowing, Term Benchmark Borrowing or RFR Borrowing,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relevant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ABR Revolving Loans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xlviii</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56" w:lineRule="exact"/>
        <w:rPr>
          <w:sz w:val="20"/>
          <w:szCs w:val="20"/>
          <w:color w:val="auto"/>
        </w:rPr>
      </w:pPr>
    </w:p>
    <w:p>
      <w:pPr>
        <w:jc w:val="both"/>
        <w:ind w:firstLine="1241"/>
        <w:spacing w:after="0" w:line="209" w:lineRule="auto"/>
        <w:tabs>
          <w:tab w:leader="none" w:pos="1852"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4" w:lineRule="exact"/>
        <w:rPr>
          <w:rFonts w:ascii="Times New Roman" w:cs="Times New Roman" w:eastAsia="Times New Roman" w:hAnsi="Times New Roman"/>
          <w:sz w:val="19"/>
          <w:szCs w:val="19"/>
          <w:color w:val="010000"/>
        </w:rPr>
      </w:pPr>
    </w:p>
    <w:p>
      <w:pPr>
        <w:jc w:val="both"/>
        <w:ind w:firstLine="1241"/>
        <w:spacing w:after="0" w:line="217" w:lineRule="auto"/>
        <w:tabs>
          <w:tab w:leader="none" w:pos="1844"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Disbursement Procedures</w:t>
      </w:r>
      <w:r>
        <w:rPr>
          <w:rFonts w:ascii="Times New Roman" w:cs="Times New Roman" w:eastAsia="Times New Roman" w:hAnsi="Times New Roman"/>
          <w:sz w:val="19"/>
          <w:szCs w:val="19"/>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a Letter of Credit. Each Issuing Bank shall promptly notify the Administrative Agent and the Borrower by telephone (confirmed by telecopy) of such demand for payment and whether such Issuing Bank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the Borrower of its obligation to reimburse such Issuing Bank and the Lenders with respect to any such LC Disbursement.</w:t>
      </w:r>
    </w:p>
    <w:p>
      <w:pPr>
        <w:spacing w:after="0" w:line="155" w:lineRule="exact"/>
        <w:rPr>
          <w:rFonts w:ascii="Times New Roman" w:cs="Times New Roman" w:eastAsia="Times New Roman" w:hAnsi="Times New Roman"/>
          <w:sz w:val="19"/>
          <w:szCs w:val="19"/>
          <w:color w:val="010000"/>
        </w:rPr>
      </w:pPr>
    </w:p>
    <w:p>
      <w:pPr>
        <w:jc w:val="both"/>
        <w:ind w:firstLine="1241"/>
        <w:spacing w:after="0" w:line="216" w:lineRule="auto"/>
        <w:tabs>
          <w:tab w:leader="none" w:pos="1844"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Interim Interest</w:t>
      </w:r>
      <w:r>
        <w:rPr>
          <w:rFonts w:ascii="Times New Roman" w:cs="Times New Roman" w:eastAsia="Times New Roman" w:hAnsi="Times New Roman"/>
          <w:sz w:val="19"/>
          <w:szCs w:val="19"/>
          <w:color w:val="auto"/>
        </w:rPr>
        <w:t xml:space="preserve">. If any Issuing Bank shall make any LC Disbursement, then, unless the Borrower shall reimburse such LC Disbursement in full in the applicable Agreed Currency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when due pursuant to paragraph (e) of this Section, then Section 2.13(e) shall apply. Interest accrued pursuant to this paragraph shall be for the account of the relevant Issuing Bank, except that interest accrued on and after the date of payment by any Lender pursuant to paragraph (e) of this Section to reimburse such Issuing Bank shall be for the account of such Lender to the extent of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xlix</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23" w:lineRule="exact"/>
        <w:rPr>
          <w:sz w:val="20"/>
          <w:szCs w:val="20"/>
          <w:color w:val="auto"/>
        </w:rPr>
      </w:pPr>
    </w:p>
    <w:p>
      <w:pPr>
        <w:jc w:val="both"/>
        <w:ind w:firstLine="1241"/>
        <w:spacing w:after="0" w:line="213" w:lineRule="auto"/>
        <w:tabs>
          <w:tab w:leader="none" w:pos="1854" w:val="left"/>
        </w:tabs>
        <w:numPr>
          <w:ilvl w:val="1"/>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Replacement and Resignation of Issuing Banks</w:t>
      </w:r>
      <w:r>
        <w:rPr>
          <w:rFonts w:ascii="Times New Roman" w:cs="Times New Roman" w:eastAsia="Times New Roman" w:hAnsi="Times New Roman"/>
          <w:sz w:val="19"/>
          <w:szCs w:val="19"/>
          <w:color w:val="auto"/>
        </w:rPr>
        <w:t>. (i) Any Issuing Bank may be replaced at any time by written agreement among the Borrower, the Administrative Agent, the replaced Issuing Bank and the successor Issuing Bank. The Administrative Agent shall notify the Lenders of any such replacement of any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such successor Issuing Bank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75" w:lineRule="exact"/>
        <w:rPr>
          <w:rFonts w:ascii="Times New Roman" w:cs="Times New Roman" w:eastAsia="Times New Roman" w:hAnsi="Times New Roman"/>
          <w:sz w:val="19"/>
          <w:szCs w:val="19"/>
          <w:color w:val="010000"/>
        </w:rPr>
      </w:pPr>
    </w:p>
    <w:p>
      <w:pPr>
        <w:jc w:val="both"/>
        <w:ind w:firstLine="402"/>
        <w:spacing w:after="0" w:line="262" w:lineRule="auto"/>
        <w:tabs>
          <w:tab w:leader="none" w:pos="6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(and conditioned upon) the successful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61" w:lineRule="exact"/>
        <w:rPr>
          <w:sz w:val="20"/>
          <w:szCs w:val="20"/>
          <w:color w:val="auto"/>
        </w:rPr>
      </w:pPr>
    </w:p>
    <w:p>
      <w:pPr>
        <w:jc w:val="both"/>
        <w:ind w:firstLine="1241"/>
        <w:spacing w:after="0" w:line="223" w:lineRule="auto"/>
        <w:tabs>
          <w:tab w:leader="none" w:pos="1854"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or if any amount is drawn under any expired Letter of Credit in accordance with the definition of “LC Exposure”, the Borrower shall deposit in an account with the Administrative Agent, in the name of the Administrative Agent and for the benefit of the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100% of the Dollar Amount of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jc w:val="both"/>
        <w:ind w:firstLine="3"/>
        <w:spacing w:after="0" w:line="209" w:lineRule="auto"/>
        <w:tabs>
          <w:tab w:leader="none" w:pos="24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For the purposes of this paragraph, the Foreign Currency LC Exposure shall be calculated using the applicable Exchange Rate on the date notice demanding cash collateralization is delivered to the Borrower. The Borrower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61" w:lineRule="exact"/>
        <w:rPr>
          <w:rFonts w:ascii="Times New Roman" w:cs="Times New Roman" w:eastAsia="Times New Roman" w:hAnsi="Times New Roman"/>
          <w:sz w:val="19"/>
          <w:szCs w:val="19"/>
          <w:color w:val="auto"/>
        </w:rPr>
      </w:pPr>
    </w:p>
    <w:p>
      <w:pPr>
        <w:jc w:val="both"/>
        <w:ind w:firstLine="1241"/>
        <w:spacing w:after="0" w:line="226" w:lineRule="auto"/>
        <w:tabs>
          <w:tab w:leader="none" w:pos="1844" w:val="left"/>
        </w:tabs>
        <w:numPr>
          <w:ilvl w:val="1"/>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Issuing Bank Agreements</w:t>
      </w:r>
      <w:r>
        <w:rPr>
          <w:rFonts w:ascii="Times New Roman" w:cs="Times New Roman" w:eastAsia="Times New Roman" w:hAnsi="Times New Roman"/>
          <w:sz w:val="19"/>
          <w:szCs w:val="19"/>
          <w:color w:val="auto"/>
        </w:rPr>
        <w:t>. Each Issuing Bank agrees that, unless otherwise requested by the Administrative Agent, such Issuing Bank shall report in writing to the Administrative Agent (i) on the first Business Day of each week, the daily activity (set forth by day) in respect of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of Credit during the immediately preceding week, including all issuances, extensions, amendments and renewals, all expirations and cancellations and all disbursements and reimbursements, (ii) on or prior to each Business Day on which such Issuing Bank expects to issue, amend, renew or</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w:t>
      </w:r>
    </w:p>
    <w:p>
      <w:pPr>
        <w:spacing w:after="0" w:line="213" w:lineRule="auto"/>
        <w:rPr>
          <w:sz w:val="20"/>
          <w:szCs w:val="20"/>
          <w:color w:val="auto"/>
        </w:rPr>
      </w:pPr>
      <w:r>
        <w:rPr>
          <w:rFonts w:ascii="Times New Roman" w:cs="Times New Roman" w:eastAsia="Times New Roman" w:hAnsi="Times New Roman"/>
          <w:sz w:val="19"/>
          <w:szCs w:val="19"/>
          <w:color w:val="auto"/>
        </w:rPr>
        <w:t>whether the amount thereof changed), it being understood that such Issuing Bank shall not permit any issuance, renewal, extension or amendment</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w:t>
      </w:r>
    </w:p>
    <w:p>
      <w:pPr>
        <w:spacing w:after="0" w:line="213" w:lineRule="auto"/>
        <w:rPr>
          <w:sz w:val="20"/>
          <w:szCs w:val="20"/>
          <w:color w:val="auto"/>
        </w:rPr>
      </w:pPr>
      <w:r>
        <w:rPr>
          <w:rFonts w:ascii="Times New Roman" w:cs="Times New Roman" w:eastAsia="Times New Roman" w:hAnsi="Times New Roman"/>
          <w:sz w:val="19"/>
          <w:szCs w:val="19"/>
          <w:color w:val="auto"/>
        </w:rPr>
        <w:t>LC Disbursement and the amount of such LC Disbursement, (iv) on any Business Day on which any Borrower fails to reimburse an LC</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156" w:lineRule="exact"/>
        <w:rPr>
          <w:sz w:val="20"/>
          <w:szCs w:val="20"/>
          <w:color w:val="auto"/>
        </w:rPr>
      </w:pPr>
    </w:p>
    <w:p>
      <w:pPr>
        <w:jc w:val="both"/>
        <w:ind w:firstLine="1241"/>
        <w:spacing w:after="0" w:line="213" w:lineRule="auto"/>
        <w:tabs>
          <w:tab w:leader="none" w:pos="1854" w:val="left"/>
        </w:tabs>
        <w:numPr>
          <w:ilvl w:val="0"/>
          <w:numId w:val="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Letters of Credit Issued for Account of Subsidiaries</w:t>
      </w:r>
      <w:r>
        <w:rPr>
          <w:rFonts w:ascii="Times New Roman" w:cs="Times New Roman" w:eastAsia="Times New Roman" w:hAnsi="Times New Roman"/>
          <w:sz w:val="19"/>
          <w:szCs w:val="19"/>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63"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2.07. </w:t>
      </w:r>
      <w:r>
        <w:rPr>
          <w:rFonts w:ascii="Times New Roman" w:cs="Times New Roman" w:eastAsia="Times New Roman" w:hAnsi="Times New Roman"/>
          <w:sz w:val="19"/>
          <w:szCs w:val="19"/>
          <w:u w:val="single" w:color="auto"/>
          <w:color w:val="000000"/>
        </w:rPr>
        <w:t>Funding of Borrowings</w:t>
      </w:r>
      <w:r>
        <w:rPr>
          <w:rFonts w:ascii="Times New Roman" w:cs="Times New Roman" w:eastAsia="Times New Roman" w:hAnsi="Times New Roman"/>
          <w:sz w:val="19"/>
          <w:szCs w:val="19"/>
          <w:color w:val="000000"/>
        </w:rPr>
        <w:t>. (a) Each Lender shall make each Loan to be made by it hereunder on the proposed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date thereof by wire transfer of immediately available funds (i) in the case of Loans denominated in Dollars, by 12:00 noon, New York City time, to</w:t>
      </w:r>
    </w:p>
    <w:p>
      <w:pPr>
        <w:spacing w:after="0" w:line="213" w:lineRule="auto"/>
        <w:rPr>
          <w:sz w:val="20"/>
          <w:szCs w:val="20"/>
          <w:color w:val="auto"/>
        </w:rPr>
      </w:pPr>
      <w:r>
        <w:rPr>
          <w:rFonts w:ascii="Times New Roman" w:cs="Times New Roman" w:eastAsia="Times New Roman" w:hAnsi="Times New Roman"/>
          <w:sz w:val="19"/>
          <w:szCs w:val="19"/>
          <w:color w:val="auto"/>
        </w:rPr>
        <w:t>the account of the Administrative Agent most recently designated by it for such purpose by notice to the Lenders and (ii) in the case of each Loan</w:t>
      </w:r>
    </w:p>
    <w:p>
      <w:pPr>
        <w:spacing w:after="0" w:line="205" w:lineRule="auto"/>
        <w:rPr>
          <w:sz w:val="20"/>
          <w:szCs w:val="20"/>
          <w:color w:val="auto"/>
        </w:rPr>
      </w:pPr>
      <w:r>
        <w:rPr>
          <w:rFonts w:ascii="Times New Roman" w:cs="Times New Roman" w:eastAsia="Times New Roman" w:hAnsi="Times New Roman"/>
          <w:sz w:val="19"/>
          <w:szCs w:val="19"/>
          <w:color w:val="auto"/>
        </w:rPr>
        <w:t>denominated in a Foreign Currency, by 3:00 p.m., Local Time, in the city of the Administrative Agent’s Foreign Currency Payment Office for such currency and at such Foreign Currency Payment Office for such currency. Except in respect of the provisions of this Agreement covering the</w:t>
      </w:r>
    </w:p>
    <w:p>
      <w:pPr>
        <w:spacing w:after="0" w:line="224" w:lineRule="auto"/>
        <w:rPr>
          <w:sz w:val="20"/>
          <w:szCs w:val="20"/>
          <w:color w:val="auto"/>
        </w:rPr>
      </w:pPr>
      <w:r>
        <w:rPr>
          <w:rFonts w:ascii="Times New Roman" w:cs="Times New Roman" w:eastAsia="Times New Roman" w:hAnsi="Times New Roman"/>
          <w:sz w:val="18"/>
          <w:szCs w:val="18"/>
          <w:color w:val="auto"/>
        </w:rPr>
        <w:t>reimbursement of Letters of Credit, the Administrative Agent will make such Loans available to the Borrower by promptly crediting the amounts so</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received, in like funds, to (x) an account of the Borrower designated by the Borrower in the applicable Borrowing Request, in the case of Loans denominated in Dollars and (y) an account of the Borrower in the relevant jurisdiction and designated by the Borrower in the applicable Borrowing</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 xml:space="preserve">Request, in the case of Loans denominated in a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ABR Loans made to finance the reimbursement of an LC Disbursement as provided in Section 2.06(e) shall be remitted by the Administrative Agent to the relevant Issuing Bank.</w:t>
      </w:r>
    </w:p>
    <w:p>
      <w:pPr>
        <w:spacing w:after="0" w:line="143" w:lineRule="exact"/>
        <w:rPr>
          <w:sz w:val="20"/>
          <w:szCs w:val="20"/>
          <w:color w:val="auto"/>
        </w:rPr>
      </w:pPr>
    </w:p>
    <w:p>
      <w:pPr>
        <w:jc w:val="both"/>
        <w:ind w:firstLine="1241"/>
        <w:spacing w:after="0" w:line="213" w:lineRule="auto"/>
        <w:tabs>
          <w:tab w:leader="none" w:pos="1847"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Alternative Currencies, in accordance with such market practice, in each case, as applicable. If such Lender pays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amount to the Administrative Agent, then such amount shall constitute such Lender’s Loan included in such Borrowing.</w:t>
      </w:r>
    </w:p>
    <w:p>
      <w:pPr>
        <w:spacing w:after="0" w:line="176"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2.08.</w:t>
      </w:r>
      <w:r>
        <w:rPr>
          <w:sz w:val="20"/>
          <w:szCs w:val="20"/>
          <w:color w:val="auto"/>
        </w:rPr>
        <w:tab/>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 (a) Each Borrowing initially shall be of the Type and Agreed Currency specified in the</w:t>
      </w:r>
    </w:p>
    <w:p>
      <w:pPr>
        <w:spacing w:after="0" w:line="216" w:lineRule="auto"/>
        <w:rPr>
          <w:sz w:val="20"/>
          <w:szCs w:val="20"/>
          <w:color w:val="auto"/>
        </w:rPr>
      </w:pPr>
      <w:r>
        <w:rPr>
          <w:rFonts w:ascii="Times New Roman" w:cs="Times New Roman" w:eastAsia="Times New Roman" w:hAnsi="Times New Roman"/>
          <w:sz w:val="18"/>
          <w:szCs w:val="18"/>
          <w:color w:val="auto"/>
        </w:rPr>
        <w:t>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w:t>
      </w:r>
    </w:p>
    <w:p>
      <w:pPr>
        <w:spacing w:after="0" w:line="213" w:lineRule="auto"/>
        <w:rPr>
          <w:sz w:val="20"/>
          <w:szCs w:val="20"/>
          <w:color w:val="auto"/>
        </w:rPr>
      </w:pPr>
      <w:r>
        <w:rPr>
          <w:rFonts w:ascii="Times New Roman" w:cs="Times New Roman" w:eastAsia="Times New Roman" w:hAnsi="Times New Roman"/>
          <w:sz w:val="19"/>
          <w:szCs w:val="19"/>
          <w:color w:val="auto"/>
        </w:rPr>
        <w:t>Benchmark Borrowing, may elect Interest Periods therefor, all as provided in this Section. The Borrower may elect different options with respect to</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6" w:lineRule="exact"/>
        <w:rPr>
          <w:sz w:val="20"/>
          <w:szCs w:val="20"/>
          <w:color w:val="auto"/>
        </w:rPr>
      </w:pPr>
    </w:p>
    <w:p>
      <w:pPr>
        <w:jc w:val="both"/>
        <w:ind w:firstLine="1241"/>
        <w:spacing w:after="0" w:line="226" w:lineRule="auto"/>
        <w:tabs>
          <w:tab w:leader="none" w:pos="1847"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make an election pursuant to this Section, the Borrower shall notify the Administrative Agent of such election (by telephone or irrevocable written notice in the case of a Borrowing denominated in Dollars or by irrevocable written notice (via an Interest Election Request signed by the Borrower) in the case of a Borrowing denominated in a Foreign Currency)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a written Interest Election Request (delivered by telecopy or electronic mail) which shall be signed by the Borrower.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such Borrowing.</w:t>
      </w:r>
    </w:p>
    <w:p>
      <w:pPr>
        <w:spacing w:after="0" w:line="150" w:lineRule="exact"/>
        <w:rPr>
          <w:rFonts w:ascii="Times New Roman" w:cs="Times New Roman" w:eastAsia="Times New Roman" w:hAnsi="Times New Roman"/>
          <w:sz w:val="18"/>
          <w:szCs w:val="18"/>
          <w:color w:val="010000"/>
        </w:rPr>
      </w:pPr>
    </w:p>
    <w:p>
      <w:pPr>
        <w:ind w:left="1840" w:hanging="599"/>
        <w:spacing w:after="0"/>
        <w:tabs>
          <w:tab w:leader="none" w:pos="184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telephonic and written Interest Election Request shall specify the following information in compliance with</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Section 2.02:</w:t>
      </w:r>
    </w:p>
    <w:p>
      <w:pPr>
        <w:spacing w:after="0" w:line="148" w:lineRule="exact"/>
        <w:rPr>
          <w:sz w:val="20"/>
          <w:szCs w:val="20"/>
          <w:color w:val="auto"/>
        </w:rPr>
      </w:pPr>
    </w:p>
    <w:p>
      <w:pPr>
        <w:jc w:val="both"/>
        <w:ind w:left="620" w:firstLine="621"/>
        <w:spacing w:after="0" w:line="231" w:lineRule="auto"/>
        <w:tabs>
          <w:tab w:leader="none" w:pos="1855"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Agreed Currency and principal amount of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2"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181"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whether the resulting Borrowing is to be an ABR Borrowing or a Term Benchmark Borrowing or an RFR Borrowing; and</w:t>
      </w:r>
    </w:p>
    <w:p>
      <w:pPr>
        <w:spacing w:after="0" w:line="181" w:lineRule="exact"/>
        <w:rPr>
          <w:rFonts w:ascii="Times New Roman" w:cs="Times New Roman" w:eastAsia="Times New Roman" w:hAnsi="Times New Roman"/>
          <w:sz w:val="19"/>
          <w:szCs w:val="19"/>
          <w:color w:val="010000"/>
        </w:rPr>
      </w:pPr>
    </w:p>
    <w:p>
      <w:pPr>
        <w:ind w:left="620" w:firstLine="621"/>
        <w:spacing w:after="0" w:line="233" w:lineRule="auto"/>
        <w:tabs>
          <w:tab w:leader="none" w:pos="1847"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6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If any such Interest Election Request requests a Term Benchmark Borrowing but does not specify an Interest Period, then the Borrower shall be deemed to have selected an Interest Period of one month’s duration.</w:t>
      </w:r>
    </w:p>
    <w:p>
      <w:pPr>
        <w:spacing w:after="0" w:line="129" w:lineRule="exact"/>
        <w:rPr>
          <w:sz w:val="20"/>
          <w:szCs w:val="20"/>
          <w:color w:val="auto"/>
        </w:rPr>
      </w:pPr>
    </w:p>
    <w:p>
      <w:pPr>
        <w:ind w:firstLine="1241"/>
        <w:spacing w:after="0"/>
        <w:tabs>
          <w:tab w:leader="none" w:pos="1847"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following receipt of an Interest Election Request, the Administrative Agent shall advise each Lender of the details thereof and of such Lender’s portion of each resulting Borrowing.</w:t>
      </w:r>
    </w:p>
    <w:p>
      <w:pPr>
        <w:spacing w:after="0" w:line="156" w:lineRule="exact"/>
        <w:rPr>
          <w:rFonts w:ascii="Times New Roman" w:cs="Times New Roman" w:eastAsia="Times New Roman" w:hAnsi="Times New Roman"/>
          <w:sz w:val="19"/>
          <w:szCs w:val="19"/>
          <w:color w:val="010000"/>
        </w:rPr>
      </w:pPr>
    </w:p>
    <w:p>
      <w:pPr>
        <w:jc w:val="both"/>
        <w:ind w:firstLine="1241"/>
        <w:spacing w:after="0" w:line="226" w:lineRule="auto"/>
        <w:tabs>
          <w:tab w:leader="none" w:pos="1844"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(i) in the case of a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lii</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denominated in Dollars, such Borrowing shall be converted to a Term Benchmark Borrowing with an Interest Period of one month and (ii) in the case of a Borrowing denominated in a Foreign Currency in respect of which the Borrower shall have failed to deliver an Interest Election Request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prior to the third (3rd) Business Day preceding the end of such Interest Period, such Borrowing shall automatically continue as a Term Benchmark Borrowing in the same Agreed Currency with an Interest Period of one month unless such Term Benchmark Borrowing is or was repaid in</w:t>
      </w:r>
    </w:p>
    <w:p>
      <w:pPr>
        <w:spacing w:after="0" w:line="213" w:lineRule="auto"/>
        <w:rPr>
          <w:sz w:val="20"/>
          <w:szCs w:val="20"/>
          <w:color w:val="auto"/>
        </w:rPr>
      </w:pPr>
      <w:r>
        <w:rPr>
          <w:rFonts w:ascii="Times New Roman" w:cs="Times New Roman" w:eastAsia="Times New Roman" w:hAnsi="Times New Roman"/>
          <w:sz w:val="19"/>
          <w:szCs w:val="19"/>
          <w:color w:val="auto"/>
        </w:rPr>
        <w:t>accordance with Section 2.11. Notwithstanding any contrary provision hereof, if an Event of Default has occurred and is continuing and the</w:t>
      </w:r>
    </w:p>
    <w:p>
      <w:pPr>
        <w:spacing w:after="0" w:line="205" w:lineRule="auto"/>
        <w:rPr>
          <w:sz w:val="20"/>
          <w:szCs w:val="20"/>
          <w:color w:val="auto"/>
        </w:rPr>
      </w:pPr>
      <w:r>
        <w:rPr>
          <w:rFonts w:ascii="Times New Roman" w:cs="Times New Roman" w:eastAsia="Times New Roman" w:hAnsi="Times New Roman"/>
          <w:sz w:val="19"/>
          <w:szCs w:val="19"/>
          <w:color w:val="auto"/>
        </w:rPr>
        <w:t>Administrative Agent, at the request of the Required Lenders, so notifies the Borrower, then, so long as an Event of Default is continuing (i) no outstanding Borrowing denominated in Dollars may be converted to or continued as a Term Benchmark Borrowing, (ii) unless repaid, each Term</w:t>
      </w:r>
    </w:p>
    <w:p>
      <w:pPr>
        <w:spacing w:after="0" w:line="213" w:lineRule="auto"/>
        <w:rPr>
          <w:sz w:val="20"/>
          <w:szCs w:val="20"/>
          <w:color w:val="auto"/>
        </w:rPr>
      </w:pPr>
      <w:r>
        <w:rPr>
          <w:rFonts w:ascii="Times New Roman" w:cs="Times New Roman" w:eastAsia="Times New Roman" w:hAnsi="Times New Roman"/>
          <w:sz w:val="19"/>
          <w:szCs w:val="19"/>
          <w:color w:val="auto"/>
        </w:rPr>
        <w:t>Benchmark Borrowing denominated in Dollars shall be converted to an ABR Borrowing at the end of the Interest Period applicable thereto and (iii)</w:t>
      </w:r>
    </w:p>
    <w:p>
      <w:pPr>
        <w:spacing w:after="0" w:line="222" w:lineRule="auto"/>
        <w:rPr>
          <w:sz w:val="20"/>
          <w:szCs w:val="20"/>
          <w:color w:val="auto"/>
        </w:rPr>
      </w:pPr>
      <w:r>
        <w:rPr>
          <w:rFonts w:ascii="Times New Roman" w:cs="Times New Roman" w:eastAsia="Times New Roman" w:hAnsi="Times New Roman"/>
          <w:sz w:val="19"/>
          <w:szCs w:val="19"/>
          <w:color w:val="auto"/>
        </w:rPr>
        <w:t>unless repaid, each Term Benchmark Borrowing denominated in a Foreign Currency shall automatically be continued as a Term Benchmark Borrowing with an Interest Period of one month.</w:t>
      </w:r>
    </w:p>
    <w:p>
      <w:pPr>
        <w:spacing w:after="0" w:line="156" w:lineRule="exact"/>
        <w:rPr>
          <w:sz w:val="20"/>
          <w:szCs w:val="20"/>
          <w:color w:val="auto"/>
        </w:rPr>
      </w:pPr>
    </w:p>
    <w:p>
      <w:pPr>
        <w:jc w:val="both"/>
        <w:ind w:firstLine="1241"/>
        <w:spacing w:after="0" w:line="213" w:lineRule="auto"/>
        <w:tabs>
          <w:tab w:leader="none" w:pos="1847"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anything in this Agreement or any other Loan Document to the contrary, interest on all Term Benchmark Loans denominated in Canadian Dollars outstanding immediately prior to the Amendment No. 1 Effective Date, if any, shall continue to accrue and be paid based upon the “Adjusted CDOR Rate” applicable pursuant to the terms of the Credit Agreement as in effect immediately prior to the Amendment No. 1 Effective Date solely until the expiration of the current “Interest Period” (as defined in the Credit Agreement as in effect immediately prior to the Amendment No. 1 Effective Date and taking into account any grace periods or extensions of such “Interest Period” approved prior to the Amendment No. 1 Effective Date) applicable thereto (at which time such Term Benchmark Loans denominated in Canadian Dollars may be reborrowed as or converted to Term Benchmark Borrowings in accordance with this Section 2.08);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from and after the Amendment No. 1 Effective Date, the Applicable Rate to be applied to any such Term Benchmark Loans denominated in Canadian Dollars shall be based on the Applicable Rate for Term Benchmark Loans.</w:t>
      </w:r>
    </w:p>
    <w:p>
      <w:pPr>
        <w:spacing w:after="0" w:line="163" w:lineRule="exact"/>
        <w:rPr>
          <w:sz w:val="20"/>
          <w:szCs w:val="20"/>
          <w:color w:val="auto"/>
        </w:rPr>
      </w:pPr>
    </w:p>
    <w:p>
      <w:pPr>
        <w:ind w:firstLine="1238"/>
        <w:spacing w:after="0" w:line="233" w:lineRule="auto"/>
        <w:rPr>
          <w:sz w:val="20"/>
          <w:szCs w:val="20"/>
          <w:color w:val="auto"/>
        </w:rPr>
      </w:pPr>
      <w:r>
        <w:rPr>
          <w:rFonts w:ascii="Times New Roman" w:cs="Times New Roman" w:eastAsia="Times New Roman" w:hAnsi="Times New Roman"/>
          <w:sz w:val="19"/>
          <w:szCs w:val="19"/>
          <w:color w:val="010000"/>
        </w:rPr>
        <w:t xml:space="preserve">SECTION 2.09. </w:t>
      </w:r>
      <w:r>
        <w:rPr>
          <w:rFonts w:ascii="Times New Roman" w:cs="Times New Roman" w:eastAsia="Times New Roman" w:hAnsi="Times New Roman"/>
          <w:sz w:val="19"/>
          <w:szCs w:val="19"/>
          <w:u w:val="single" w:color="auto"/>
          <w:color w:val="000000"/>
        </w:rPr>
        <w:t>Termination and Reduction of Commitments</w:t>
      </w:r>
      <w:r>
        <w:rPr>
          <w:rFonts w:ascii="Times New Roman" w:cs="Times New Roman" w:eastAsia="Times New Roman" w:hAnsi="Times New Roman"/>
          <w:sz w:val="19"/>
          <w:szCs w:val="19"/>
          <w:color w:val="000000"/>
        </w:rPr>
        <w:t>. (a) Unless previously terminated, the Commitments shall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terminate on the Maturity Date.</w:t>
      </w:r>
    </w:p>
    <w:p>
      <w:pPr>
        <w:spacing w:after="0" w:line="156" w:lineRule="exact"/>
        <w:rPr>
          <w:sz w:val="20"/>
          <w:szCs w:val="20"/>
          <w:color w:val="auto"/>
        </w:rPr>
      </w:pPr>
    </w:p>
    <w:p>
      <w:pPr>
        <w:jc w:val="both"/>
        <w:ind w:firstLine="1241"/>
        <w:spacing w:after="0" w:line="222" w:lineRule="auto"/>
        <w:tabs>
          <w:tab w:leader="none" w:pos="1847"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at any time terminate, or from time to time reduce,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Commitments shall be in an amount that is an integral multiple of $5,000,000 and not less than $10,000,000 and (ii) the Borrower shall not terminate or reduce the Commitments if, after giving effect to any concurrent prepayment of the Loans in accordance with Section 2.11, the Dollar Amount of the Total Revolving Credit Exposure would exceed the Aggregate Commitment.</w:t>
      </w:r>
    </w:p>
    <w:p>
      <w:pPr>
        <w:spacing w:after="0" w:line="158" w:lineRule="exact"/>
        <w:rPr>
          <w:rFonts w:ascii="Times New Roman" w:cs="Times New Roman" w:eastAsia="Times New Roman" w:hAnsi="Times New Roman"/>
          <w:sz w:val="19"/>
          <w:szCs w:val="19"/>
          <w:color w:val="010000"/>
        </w:rPr>
      </w:pPr>
    </w:p>
    <w:p>
      <w:pPr>
        <w:jc w:val="both"/>
        <w:ind w:firstLine="1241"/>
        <w:spacing w:after="0" w:line="214" w:lineRule="auto"/>
        <w:tabs>
          <w:tab w:leader="none" w:pos="1844"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of the Commitments delivered by the Borrower may state that such notice is conditioned upon the effectiveness of other credit facilities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5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2.10.</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 (a) The Borrower hereby unconditionally promises to pay to the</w:t>
      </w:r>
    </w:p>
    <w:p>
      <w:pPr>
        <w:spacing w:after="0" w:line="222" w:lineRule="auto"/>
        <w:rPr>
          <w:sz w:val="20"/>
          <w:szCs w:val="20"/>
          <w:color w:val="auto"/>
        </w:rPr>
      </w:pPr>
      <w:r>
        <w:rPr>
          <w:rFonts w:ascii="Times New Roman" w:cs="Times New Roman" w:eastAsia="Times New Roman" w:hAnsi="Times New Roman"/>
          <w:sz w:val="19"/>
          <w:szCs w:val="19"/>
          <w:color w:val="auto"/>
        </w:rPr>
        <w:t>Administrative Agent for the account of each Lender the then unpaid principal amount of each Loan on the Maturity Date in the currency of such Loan.</w:t>
      </w:r>
    </w:p>
    <w:p>
      <w:pPr>
        <w:spacing w:after="0" w:line="156" w:lineRule="exact"/>
        <w:rPr>
          <w:sz w:val="20"/>
          <w:szCs w:val="20"/>
          <w:color w:val="auto"/>
        </w:rPr>
      </w:pPr>
    </w:p>
    <w:p>
      <w:pPr>
        <w:ind w:firstLine="1241"/>
        <w:spacing w:after="0"/>
        <w:tabs>
          <w:tab w:leader="none" w:pos="1847"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Loan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liii</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Lender, including the amounts of principal and interest payable and paid to such Lender from time to time hereunder.</w:t>
      </w:r>
    </w:p>
    <w:p>
      <w:pPr>
        <w:spacing w:after="0" w:line="181" w:lineRule="exact"/>
        <w:rPr>
          <w:sz w:val="20"/>
          <w:szCs w:val="20"/>
          <w:color w:val="auto"/>
        </w:rPr>
      </w:pPr>
    </w:p>
    <w:p>
      <w:pPr>
        <w:jc w:val="both"/>
        <w:ind w:firstLine="1241"/>
        <w:spacing w:after="0" w:line="222" w:lineRule="auto"/>
        <w:tabs>
          <w:tab w:leader="none" w:pos="1844"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maintain accounts in which it shall record (i) the amount of each Loan made hereunder, the Agreed Currency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58" w:lineRule="exact"/>
        <w:rPr>
          <w:rFonts w:ascii="Times New Roman" w:cs="Times New Roman" w:eastAsia="Times New Roman" w:hAnsi="Times New Roman"/>
          <w:sz w:val="19"/>
          <w:szCs w:val="19"/>
          <w:color w:val="010000"/>
        </w:rPr>
      </w:pPr>
    </w:p>
    <w:p>
      <w:pPr>
        <w:jc w:val="both"/>
        <w:ind w:firstLine="1241"/>
        <w:spacing w:after="0" w:line="222" w:lineRule="auto"/>
        <w:tabs>
          <w:tab w:leader="none" w:pos="1847"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entries made in the accounts maintained pursuant to paragraph (b) or (c)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of the existence and amounts of the obligations recorded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45" w:lineRule="exact"/>
        <w:rPr>
          <w:rFonts w:ascii="Times New Roman" w:cs="Times New Roman" w:eastAsia="Times New Roman" w:hAnsi="Times New Roman"/>
          <w:sz w:val="19"/>
          <w:szCs w:val="19"/>
          <w:color w:val="010000"/>
        </w:rPr>
      </w:pPr>
    </w:p>
    <w:p>
      <w:pPr>
        <w:jc w:val="both"/>
        <w:ind w:firstLine="1241"/>
        <w:spacing w:after="0" w:line="220" w:lineRule="auto"/>
        <w:tabs>
          <w:tab w:leader="none" w:pos="1844"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Lender may request that Loans made by it be evidenced by a promissory note. In such event, the Borrower shall prepare, execute and deliver to such Lender a promissory note payable to such Lender or its registered assigns and in the form attached hereto as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xml:space="preserve"> (or such other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its registered assigns.</w:t>
      </w:r>
    </w:p>
    <w:p>
      <w:pPr>
        <w:spacing w:after="0" w:line="146"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2.11.</w:t>
      </w:r>
      <w:r>
        <w:rPr>
          <w:sz w:val="20"/>
          <w:szCs w:val="20"/>
          <w:color w:val="auto"/>
        </w:rPr>
        <w:tab/>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09" w:lineRule="auto"/>
        <w:tabs>
          <w:tab w:leader="none" w:pos="1847" w:val="left"/>
        </w:tabs>
        <w:numPr>
          <w:ilvl w:val="1"/>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shall have the right at any time and from time to time to prepay any Borrowing in whole or in part, subject to prior notice in accordance with the provisions of this Section 2.11(a). The Borrower shall notify the Administrative Agent by telephone (confirmed by telecopy or electronic mail) of any prepayment hereunder (i) in the case of prepayment of a Term Benchmark Borrowing, not later than 11:00 a.m., Local Time, three (3) Business Days (in the case of a Eurocurrency Borrowing denominated in Dollars) or four (4) Business Days (in the case of a Eurocurrency Borrowing denominated in a Foreign Currency), in each case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w:t>
      </w:r>
    </w:p>
    <w:p>
      <w:pPr>
        <w:spacing w:after="0" w:line="5" w:lineRule="exact"/>
        <w:rPr>
          <w:rFonts w:ascii="Times New Roman" w:cs="Times New Roman" w:eastAsia="Times New Roman" w:hAnsi="Times New Roman"/>
          <w:sz w:val="19"/>
          <w:szCs w:val="19"/>
          <w:color w:val="010000"/>
        </w:rPr>
      </w:pPr>
    </w:p>
    <w:p>
      <w:pPr>
        <w:ind w:left="220" w:hanging="217"/>
        <w:spacing w:after="0"/>
        <w:tabs>
          <w:tab w:leader="none" w:pos="22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accrued interest to the extent required by Section 2.13 and (ii) break funding payments pursuant to Section 2.16.</w:t>
      </w:r>
    </w:p>
    <w:p>
      <w:pPr>
        <w:spacing w:after="0" w:line="161" w:lineRule="exact"/>
        <w:rPr>
          <w:rFonts w:ascii="Times New Roman" w:cs="Times New Roman" w:eastAsia="Times New Roman" w:hAnsi="Times New Roman"/>
          <w:sz w:val="19"/>
          <w:szCs w:val="19"/>
          <w:color w:val="auto"/>
        </w:rPr>
      </w:pPr>
    </w:p>
    <w:p>
      <w:pPr>
        <w:jc w:val="both"/>
        <w:ind w:firstLine="1241"/>
        <w:spacing w:after="0" w:line="213" w:lineRule="auto"/>
        <w:tabs>
          <w:tab w:leader="none" w:pos="1844" w:val="left"/>
        </w:tabs>
        <w:numPr>
          <w:ilvl w:val="1"/>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at any time, (i) other than as a result of fluctuations in currency exchange rates, (A) the sum of the aggregate principal Dollar Amount of all of the Revolving Credit Exposures (calculated, with respect to those Credit Events denominated in Foreign Currencies, as of the most recent Computation Date with respect to each such Credit Event) exceeds the Aggregate Commitment or (B) the sum of the aggregate principal Dollar Amount of all of the outstanding Revolving Credit Exposures denominated in Foreign Currencies (the “</w:t>
      </w:r>
      <w:r>
        <w:rPr>
          <w:rFonts w:ascii="Times New Roman" w:cs="Times New Roman" w:eastAsia="Times New Roman" w:hAnsi="Times New Roman"/>
          <w:sz w:val="19"/>
          <w:szCs w:val="19"/>
          <w:u w:val="single" w:color="auto"/>
          <w:color w:val="auto"/>
        </w:rPr>
        <w:t>Foreign 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Exposure</w:t>
      </w:r>
      <w:r>
        <w:rPr>
          <w:rFonts w:ascii="Times New Roman" w:cs="Times New Roman" w:eastAsia="Times New Roman" w:hAnsi="Times New Roman"/>
          <w:sz w:val="19"/>
          <w:szCs w:val="19"/>
          <w:color w:val="auto"/>
        </w:rPr>
        <w:t>”) (so calculated), as of the most recent Computation Date with respect to each such Credit Event, exceeds the Foreign Currency Sublimit or (ii) solely as a result of fluctuations in currency exchange rates, (A) the sum of the aggregate principal Dollar Amount of all of the Revolving Credit Exposures (so calculated) exceeds 105% of the Aggregate Commitment or (B) the Foreign Currency Exposure, as of the most recent Computation Date with respect to each such Credit Event, exceeds 105% of the Foreign Currency Sublimit, the Borrower shall in each case immediately repay Borrowings or cash collateralize LC Exposure in an account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liv</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2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Administrative Agent pursuant to Section 2.06(j), as applicable, in an aggregate principal amount sufficient to cause (x) the aggregate Dollar Amount of all Revolving Credit Exposures (so calculated) to be less than or equal to the Aggregate Commitment and (y) the Foreign Currency Exposure to be less than or equal to the Foreign Currency Sublimit, as applicable.</w:t>
      </w:r>
    </w:p>
    <w:p>
      <w:pPr>
        <w:spacing w:after="0" w:line="143"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2.12. </w:t>
      </w:r>
      <w:r>
        <w:rPr>
          <w:rFonts w:ascii="Times New Roman" w:cs="Times New Roman" w:eastAsia="Times New Roman" w:hAnsi="Times New Roman"/>
          <w:sz w:val="19"/>
          <w:szCs w:val="19"/>
          <w:u w:val="single" w:color="auto"/>
          <w:color w:val="000000"/>
        </w:rPr>
        <w:t>Fees</w:t>
      </w:r>
      <w:r>
        <w:rPr>
          <w:rFonts w:ascii="Times New Roman" w:cs="Times New Roman" w:eastAsia="Times New Roman" w:hAnsi="Times New Roman"/>
          <w:sz w:val="19"/>
          <w:szCs w:val="19"/>
          <w:color w:val="000000"/>
        </w:rPr>
        <w:t>. (a) The Borrower agrees to pay to the Administrative Agent for the account of each Lender a</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commitment fee, which shall accrue at the Applicable Rate on the Available Commitment of such Lender during the period from and including the</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Effective Date to but excluding the date on which such Commitment terminates. Accrued commitment fees shall be payable in arrears on the last day of March, June, September and December of each year and on the date on which the Commitments terminate, commencing on the first such</w:t>
      </w:r>
    </w:p>
    <w:p>
      <w:pPr>
        <w:spacing w:after="0" w:line="224" w:lineRule="auto"/>
        <w:rPr>
          <w:sz w:val="20"/>
          <w:szCs w:val="20"/>
          <w:color w:val="auto"/>
        </w:rPr>
      </w:pPr>
      <w:r>
        <w:rPr>
          <w:rFonts w:ascii="Times New Roman" w:cs="Times New Roman" w:eastAsia="Times New Roman" w:hAnsi="Times New Roman"/>
          <w:sz w:val="18"/>
          <w:szCs w:val="18"/>
          <w:color w:val="auto"/>
        </w:rPr>
        <w:t xml:space="preserve">date to occur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 fees accruing after the date on which the Commitments terminate shall be payable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on demand. All commitment fees shall be computed on the basis of a year of 360 days and shall be payable for the actual number of days elapsed (including the first day but excluding the last day).</w:t>
      </w:r>
    </w:p>
    <w:p>
      <w:pPr>
        <w:spacing w:after="0" w:line="156" w:lineRule="exact"/>
        <w:rPr>
          <w:sz w:val="20"/>
          <w:szCs w:val="20"/>
          <w:color w:val="auto"/>
        </w:rPr>
      </w:pPr>
    </w:p>
    <w:p>
      <w:pPr>
        <w:jc w:val="both"/>
        <w:ind w:firstLine="1241"/>
        <w:spacing w:after="0" w:line="207" w:lineRule="auto"/>
        <w:tabs>
          <w:tab w:leader="none" w:pos="184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agrees to pay (i) to the Administrative Agent for the account of each Lender a participation fee with respect to its participations in Letters of Credit, which shall accrue at the same Applicable Rate used to determine the interest rate applicable to Term Benchmark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a rate per annum </w:t>
      </w:r>
      <w:r>
        <w:rPr>
          <w:rFonts w:ascii="Times New Roman" w:cs="Times New Roman" w:eastAsia="Times New Roman" w:hAnsi="Times New Roman"/>
          <w:sz w:val="19"/>
          <w:szCs w:val="19"/>
          <w:b w:val="1"/>
          <w:bCs w:val="1"/>
          <w:color w:val="FF0000"/>
          <w:strike w:val="1"/>
        </w:rPr>
        <w:t>separately agreed upon by the Borrower and such Issuing Bank</w:t>
      </w:r>
      <w:r>
        <w:rPr>
          <w:rFonts w:ascii="Times New Roman" w:cs="Times New Roman" w:eastAsia="Times New Roman" w:hAnsi="Times New Roman"/>
          <w:sz w:val="19"/>
          <w:szCs w:val="19"/>
          <w:b w:val="1"/>
          <w:bCs w:val="1"/>
          <w:u w:val="single" w:color="auto"/>
          <w:color w:val="0000FF"/>
        </w:rPr>
        <w:t>equal to 0.125%</w:t>
      </w:r>
      <w:r>
        <w:rPr>
          <w:rFonts w:ascii="Times New Roman" w:cs="Times New Roman" w:eastAsia="Times New Roman" w:hAnsi="Times New Roman"/>
          <w:sz w:val="19"/>
          <w:szCs w:val="19"/>
          <w:color w:val="auto"/>
        </w:rPr>
        <w:t xml:space="preserve">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xml:space="preserve">) Business Day following such last day, commencing on the first such date to occur after the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68" w:lineRule="exact"/>
        <w:rPr>
          <w:rFonts w:ascii="Times New Roman" w:cs="Times New Roman" w:eastAsia="Times New Roman" w:hAnsi="Times New Roman"/>
          <w:sz w:val="19"/>
          <w:szCs w:val="19"/>
          <w:color w:val="010000"/>
        </w:rPr>
      </w:pPr>
    </w:p>
    <w:p>
      <w:pPr>
        <w:jc w:val="both"/>
        <w:ind w:firstLine="1241"/>
        <w:spacing w:after="0" w:line="226" w:lineRule="auto"/>
        <w:tabs>
          <w:tab w:leader="none" w:pos="1844"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agrees to pay (x) to the Administrative Agent, for its own account, fees payable in the amounts and at the times separately agreed upon between the Borrower and the Administrative Agent and (y) such other fees as separately agreed upon between the Borrower and JPMCB.</w:t>
      </w:r>
    </w:p>
    <w:p>
      <w:pPr>
        <w:spacing w:after="0" w:line="156" w:lineRule="exact"/>
        <w:rPr>
          <w:rFonts w:ascii="Times New Roman" w:cs="Times New Roman" w:eastAsia="Times New Roman" w:hAnsi="Times New Roman"/>
          <w:sz w:val="19"/>
          <w:szCs w:val="19"/>
          <w:color w:val="010000"/>
        </w:rPr>
      </w:pPr>
    </w:p>
    <w:p>
      <w:pPr>
        <w:jc w:val="both"/>
        <w:ind w:firstLine="1241"/>
        <w:spacing w:after="0" w:line="226" w:lineRule="auto"/>
        <w:tabs>
          <w:tab w:leader="none" w:pos="184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commitment fees and participation fees, to the Lenders. Fees paid shall not be refundable under any circumstances.</w:t>
      </w:r>
    </w:p>
    <w:p>
      <w:pPr>
        <w:spacing w:after="0" w:line="156" w:lineRule="exact"/>
        <w:rPr>
          <w:sz w:val="20"/>
          <w:szCs w:val="20"/>
          <w:color w:val="auto"/>
        </w:rPr>
      </w:pPr>
    </w:p>
    <w:p>
      <w:pPr>
        <w:ind w:firstLine="1238"/>
        <w:spacing w:after="0" w:line="233" w:lineRule="auto"/>
        <w:rPr>
          <w:sz w:val="20"/>
          <w:szCs w:val="20"/>
          <w:color w:val="auto"/>
        </w:rPr>
      </w:pPr>
      <w:r>
        <w:rPr>
          <w:rFonts w:ascii="Times New Roman" w:cs="Times New Roman" w:eastAsia="Times New Roman" w:hAnsi="Times New Roman"/>
          <w:sz w:val="19"/>
          <w:szCs w:val="19"/>
          <w:color w:val="010000"/>
        </w:rPr>
        <w:t xml:space="preserve">SECTION 2.13. </w:t>
      </w:r>
      <w:r>
        <w:rPr>
          <w:rFonts w:ascii="Times New Roman" w:cs="Times New Roman" w:eastAsia="Times New Roman" w:hAnsi="Times New Roman"/>
          <w:sz w:val="19"/>
          <w:szCs w:val="19"/>
          <w:u w:val="single" w:color="auto"/>
          <w:color w:val="000000"/>
        </w:rPr>
        <w:t>Interest</w:t>
      </w:r>
      <w:r>
        <w:rPr>
          <w:rFonts w:ascii="Times New Roman" w:cs="Times New Roman" w:eastAsia="Times New Roman" w:hAnsi="Times New Roman"/>
          <w:sz w:val="19"/>
          <w:szCs w:val="19"/>
          <w:color w:val="000000"/>
        </w:rPr>
        <w:t>. (a) The Loans comprising each ABR Borrowing shall bear interest at the Alternate Base Rate plus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3" w:lineRule="exact"/>
        <w:rPr>
          <w:sz w:val="20"/>
          <w:szCs w:val="20"/>
          <w:color w:val="auto"/>
        </w:rPr>
      </w:pPr>
    </w:p>
    <w:p>
      <w:pPr>
        <w:ind w:firstLine="1241"/>
        <w:spacing w:after="0"/>
        <w:tabs>
          <w:tab w:leader="none" w:pos="1847"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Loans comprising each Term Benchmark Borrowing shall bear interest at the Adjusted Term SOFR Rate, the Adjusted Term CORRA Rate or the Adjusted EURIBOR Rate, as applicable, for the Interest Period in effect for such Borrowing plus the Applicable Rate.</w:t>
      </w:r>
    </w:p>
    <w:p>
      <w:pPr>
        <w:spacing w:after="0" w:line="138"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RFR Loan shall bear interest at a rate per annum equal to the applicable Adjusted Daily Simple RFR plus the</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Applicable Rate.</w:t>
      </w:r>
    </w:p>
    <w:p>
      <w:pPr>
        <w:spacing w:after="0" w:line="161" w:lineRule="exact"/>
        <w:rPr>
          <w:rFonts w:ascii="Times New Roman" w:cs="Times New Roman" w:eastAsia="Times New Roman" w:hAnsi="Times New Roman"/>
          <w:sz w:val="19"/>
          <w:szCs w:val="19"/>
          <w:color w:val="010000"/>
        </w:rPr>
      </w:pPr>
    </w:p>
    <w:p>
      <w:pPr>
        <w:jc w:val="both"/>
        <w:ind w:firstLine="1241"/>
        <w:spacing w:after="0" w:line="220" w:lineRule="auto"/>
        <w:tabs>
          <w:tab w:leader="none" w:pos="1847"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the foregoing and to the extent permitted by law, upon the occurrence and during the continuance of an Event of Default arising under any of </w:t>
      </w:r>
      <w:r>
        <w:rPr>
          <w:rFonts w:ascii="Times New Roman" w:cs="Times New Roman" w:eastAsia="Times New Roman" w:hAnsi="Times New Roman"/>
          <w:sz w:val="19"/>
          <w:szCs w:val="19"/>
          <w:u w:val="single" w:color="auto"/>
          <w:color w:val="auto"/>
        </w:rPr>
        <w:t>Sections 7.11(a)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any overdue principal of, and all accrued and unpaid interest on, all Loans (and any overdue fee or any other amount payable under this Agreement)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 2.13.</w:t>
      </w:r>
    </w:p>
    <w:p>
      <w:pPr>
        <w:spacing w:after="0" w:line="146" w:lineRule="exact"/>
        <w:rPr>
          <w:rFonts w:ascii="Times New Roman" w:cs="Times New Roman" w:eastAsia="Times New Roman" w:hAnsi="Times New Roman"/>
          <w:sz w:val="19"/>
          <w:szCs w:val="19"/>
          <w:color w:val="010000"/>
        </w:rPr>
      </w:pPr>
    </w:p>
    <w:p>
      <w:pPr>
        <w:jc w:val="both"/>
        <w:ind w:firstLine="1241"/>
        <w:spacing w:after="0" w:line="217" w:lineRule="auto"/>
        <w:tabs>
          <w:tab w:leader="none" w:pos="1844"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Accrued interest on each Loan shall be payable in arrears on each Interest Payment Date for such Loan and upon termination of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55" w:lineRule="exact"/>
        <w:rPr>
          <w:rFonts w:ascii="Times New Roman" w:cs="Times New Roman" w:eastAsia="Times New Roman" w:hAnsi="Times New Roman"/>
          <w:sz w:val="19"/>
          <w:szCs w:val="19"/>
          <w:color w:val="010000"/>
        </w:rPr>
      </w:pPr>
    </w:p>
    <w:p>
      <w:pPr>
        <w:jc w:val="both"/>
        <w:ind w:firstLine="1241"/>
        <w:spacing w:after="0" w:line="213" w:lineRule="auto"/>
        <w:tabs>
          <w:tab w:leader="none" w:pos="1847"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Interest computed by reference to the Term SOFR Rate, the EURIBOR Rate or Daily Simple RFR with respect to Dollars hereunder shall be computed on the basis of a year of 360 days. Interest computed by reference to the Adjusted Term CORRA Rate, the Daily Simple RFR with respect to Canadian Dollars or Sterling, the Canadian Prime Rate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Term CORRA Rate, Adjusted Term CORRA Rate, EURIBOR Rate, Adjusted EURIBOR Rate, Adjusted Daily Simple RFR or Daily Simple RFR shall be determined by the Administrative Agent, and such determination shall be conclusive absent manifest error.</w:t>
      </w:r>
    </w:p>
    <w:p>
      <w:pPr>
        <w:spacing w:after="0" w:line="163"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2.14.</w:t>
      </w:r>
      <w:r>
        <w:rPr>
          <w:sz w:val="20"/>
          <w:szCs w:val="20"/>
          <w:color w:val="auto"/>
        </w:rPr>
        <w:tab/>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860" w:hanging="619"/>
        <w:spacing w:after="0"/>
        <w:tabs>
          <w:tab w:leader="none" w:pos="1860" w:val="left"/>
        </w:tabs>
        <w:numPr>
          <w:ilvl w:val="1"/>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clauses (b), (c), (d), (e) and (f) of this </w:t>
      </w:r>
      <w:r>
        <w:rPr>
          <w:rFonts w:ascii="Times New Roman" w:cs="Times New Roman" w:eastAsia="Times New Roman" w:hAnsi="Times New Roman"/>
          <w:sz w:val="19"/>
          <w:szCs w:val="19"/>
          <w:b w:val="1"/>
          <w:bCs w:val="1"/>
          <w:u w:val="single" w:color="auto"/>
          <w:color w:val="auto"/>
        </w:rPr>
        <w:t>Section 2.14</w:t>
      </w:r>
      <w:r>
        <w:rPr>
          <w:rFonts w:ascii="Times New Roman" w:cs="Times New Roman" w:eastAsia="Times New Roman" w:hAnsi="Times New Roman"/>
          <w:sz w:val="19"/>
          <w:szCs w:val="19"/>
          <w:b w:val="1"/>
          <w:bCs w:val="1"/>
          <w:color w:val="auto"/>
        </w:rPr>
        <w:t>, if</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010000"/>
        </w:rPr>
      </w:pPr>
    </w:p>
    <w:p>
      <w:pPr>
        <w:jc w:val="both"/>
        <w:ind w:left="620" w:firstLine="1240"/>
        <w:spacing w:after="0" w:line="219" w:lineRule="auto"/>
        <w:tabs>
          <w:tab w:leader="none" w:pos="2474" w:val="left"/>
        </w:tabs>
        <w:numPr>
          <w:ilvl w:val="2"/>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Term CORRA Rate, the Term CORRA Rate, the EURIBOR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Daily Simple RFR or RFR for the applicable Agreed Currency; or</w:t>
      </w:r>
    </w:p>
    <w:p>
      <w:pPr>
        <w:spacing w:after="0" w:line="144" w:lineRule="exact"/>
        <w:rPr>
          <w:rFonts w:ascii="Times New Roman" w:cs="Times New Roman" w:eastAsia="Times New Roman" w:hAnsi="Times New Roman"/>
          <w:sz w:val="19"/>
          <w:szCs w:val="19"/>
          <w:color w:val="010000"/>
        </w:rPr>
      </w:pPr>
    </w:p>
    <w:p>
      <w:pPr>
        <w:jc w:val="both"/>
        <w:ind w:left="620" w:firstLine="1240"/>
        <w:spacing w:after="0" w:line="226" w:lineRule="auto"/>
        <w:tabs>
          <w:tab w:leader="none" w:pos="2475" w:val="left"/>
        </w:tabs>
        <w:numPr>
          <w:ilvl w:val="2"/>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the Adjusted Term CORRA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w:t>
      </w:r>
    </w:p>
    <w:p>
      <w:pPr>
        <w:ind w:left="920" w:hanging="298"/>
        <w:spacing w:after="0"/>
        <w:tabs>
          <w:tab w:leader="none" w:pos="92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lvi</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applicable Adjusted Daily Simple RFR for the applicable Agreed Currency will not adequately and fairly reflect the cost to such Lenders (or Lender) of making or maintaining their Loans (or its Loan) included in such Borrowing for the applicable Agreed Currency;</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(or in the case of a Loan in Canadian Dollars, the Canadian Prime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lvii</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CBR Spread (or in the case of a Loan in Canadian Dollars, the Canadian Prime Rate);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spacing w:after="0" w:line="154" w:lineRule="exact"/>
        <w:rPr>
          <w:sz w:val="20"/>
          <w:szCs w:val="20"/>
          <w:color w:val="auto"/>
        </w:rPr>
      </w:pPr>
    </w:p>
    <w:p>
      <w:pPr>
        <w:jc w:val="both"/>
        <w:ind w:firstLine="1241"/>
        <w:spacing w:after="0" w:line="212" w:lineRule="auto"/>
        <w:tabs>
          <w:tab w:leader="none" w:pos="1844" w:val="left"/>
        </w:tabs>
        <w:numPr>
          <w:ilvl w:val="0"/>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9" w:lineRule="exact"/>
        <w:rPr>
          <w:rFonts w:ascii="Times New Roman" w:cs="Times New Roman" w:eastAsia="Times New Roman" w:hAnsi="Times New Roman"/>
          <w:sz w:val="19"/>
          <w:szCs w:val="19"/>
          <w:color w:val="010000"/>
        </w:rPr>
      </w:pPr>
    </w:p>
    <w:p>
      <w:pPr>
        <w:jc w:val="both"/>
        <w:ind w:firstLine="1241"/>
        <w:spacing w:after="0" w:line="225" w:lineRule="auto"/>
        <w:tabs>
          <w:tab w:leader="none" w:pos="1847"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sentence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47" w:lineRule="exact"/>
        <w:rPr>
          <w:rFonts w:ascii="Times New Roman" w:cs="Times New Roman" w:eastAsia="Times New Roman" w:hAnsi="Times New Roman"/>
          <w:sz w:val="18"/>
          <w:szCs w:val="18"/>
          <w:color w:val="010000"/>
        </w:rPr>
      </w:pPr>
    </w:p>
    <w:p>
      <w:pPr>
        <w:jc w:val="both"/>
        <w:ind w:firstLine="1241"/>
        <w:spacing w:after="0" w:line="215" w:lineRule="auto"/>
        <w:tabs>
          <w:tab w:leader="none" w:pos="1844" w:val="left"/>
        </w:tabs>
        <w:numPr>
          <w:ilvl w:val="0"/>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010000"/>
        </w:rPr>
      </w:pPr>
    </w:p>
    <w:p>
      <w:pPr>
        <w:ind w:firstLine="1241"/>
        <w:spacing w:after="0" w:line="233" w:lineRule="auto"/>
        <w:tabs>
          <w:tab w:leader="none" w:pos="1847" w:val="left"/>
        </w:tabs>
        <w:numPr>
          <w:ilvl w:val="0"/>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or in any other Loan Document, at any time (including in connection with the implementation of a Benchmark Replacement), (i)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lviii</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then-current Benchmark is a term rate (including the Term SOFR Rate, Term CORRA Rate or EURIBOR Rate) and either (A) any tenor for such Benchmark is not displayed on a screen or other information service that publishes such rate from time to time as selected by the Administrative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w:t>
      </w:r>
    </w:p>
    <w:p>
      <w:pPr>
        <w:spacing w:after="0" w:line="213" w:lineRule="auto"/>
        <w:rPr>
          <w:sz w:val="20"/>
          <w:szCs w:val="20"/>
          <w:color w:val="auto"/>
        </w:rPr>
      </w:pPr>
      <w:r>
        <w:rPr>
          <w:rFonts w:ascii="Times New Roman" w:cs="Times New Roman" w:eastAsia="Times New Roman" w:hAnsi="Times New Roman"/>
          <w:sz w:val="19"/>
          <w:szCs w:val="19"/>
          <w:color w:val="auto"/>
        </w:rPr>
        <w:t>modify the definition of “Interest Period” for any Benchmark settings at or after such time to remove such unavailable or non-representative tenor</w:t>
      </w:r>
    </w:p>
    <w:p>
      <w:pPr>
        <w:spacing w:after="0" w:line="205" w:lineRule="auto"/>
        <w:rPr>
          <w:sz w:val="20"/>
          <w:szCs w:val="20"/>
          <w:color w:val="auto"/>
        </w:rPr>
      </w:pPr>
      <w:r>
        <w:rPr>
          <w:rFonts w:ascii="Times New Roman" w:cs="Times New Roman" w:eastAsia="Times New Roman" w:hAnsi="Times New Roman"/>
          <w:sz w:val="19"/>
          <w:szCs w:val="19"/>
          <w:color w:val="auto"/>
        </w:rPr>
        <w:t>and (ii) if a tenor that was removed pursuant to clause (i) above either (A) is subsequently displayed on a screen or information service for a Benchmark (including a Benchmark Replacement) or (B) is not, or is no longer, subject to an announcement that it is or will no longer be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representative for a Benchmark (including a Benchmark Replacement), then the Administrative Agent may modify the definition of “Interest Period” for all Benchmark settings at or after such time to reinstate such previously removed tenor.</w:t>
      </w:r>
    </w:p>
    <w:p>
      <w:pPr>
        <w:spacing w:after="0" w:line="143" w:lineRule="exact"/>
        <w:rPr>
          <w:sz w:val="20"/>
          <w:szCs w:val="20"/>
          <w:color w:val="auto"/>
        </w:rPr>
      </w:pPr>
    </w:p>
    <w:p>
      <w:pPr>
        <w:jc w:val="both"/>
        <w:ind w:firstLine="1241"/>
        <w:spacing w:after="0" w:line="209" w:lineRule="auto"/>
        <w:tabs>
          <w:tab w:leader="none" w:pos="1852"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(or, in the case of a Loan in Canadian Dollars, the Canadian Prime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be prepaid by the Borrower on such day or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(or, in the case of a Loan in Canadian Dollars, the Canadian Prime Rate) and (2) any RFR Loan shall bear interest at the Central Bank Rate for the applicable Foreign Currency plus the CBR Spread (or, in the case of a Loan in Canadian Dollars, the Canadian Prime Rate);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lix</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23"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2.15.</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181" w:lineRule="exact"/>
        <w:rPr>
          <w:sz w:val="20"/>
          <w:szCs w:val="20"/>
          <w:color w:val="auto"/>
        </w:rPr>
      </w:pPr>
    </w:p>
    <w:p>
      <w:pPr>
        <w:jc w:val="both"/>
        <w:ind w:left="620" w:firstLine="621"/>
        <w:spacing w:after="0" w:line="222" w:lineRule="auto"/>
        <w:tabs>
          <w:tab w:leader="none" w:pos="1855"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Adjusted Term CORRA Rate or Adjusted EURIBOR Rate, as applicable) or any Issuing Bank;</w:t>
      </w:r>
    </w:p>
    <w:p>
      <w:pPr>
        <w:spacing w:after="0" w:line="158"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56"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impose on any Lender or any Issuing Bank or the applicable market for the applicable Agreed Currency any other condition, cost or expense (other than Taxes) affecting this Agreement or Loans made by such Lender or any Letter of Credit or participation therein; or</w:t>
      </w:r>
    </w:p>
    <w:p>
      <w:pPr>
        <w:spacing w:after="0" w:line="156"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57"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any Recipient to any Taxes (other than (A) Indemnified Taxes, (B) Taxes described in clauses (b) through (d) of the definition of Excluded Taxes and (C) Connection Income Taxes) with respect to its loans, letters of credit, commitments, or other obligations, or its deposits, reserves, other liabilities or capital attributable thereto;</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73" w:lineRule="exact"/>
        <w:rPr>
          <w:sz w:val="20"/>
          <w:szCs w:val="20"/>
          <w:color w:val="auto"/>
        </w:rPr>
      </w:pPr>
    </w:p>
    <w:p>
      <w:pPr>
        <w:jc w:val="both"/>
        <w:ind w:firstLine="1241"/>
        <w:spacing w:after="0" w:line="215" w:lineRule="auto"/>
        <w:tabs>
          <w:tab w:leader="none" w:pos="1847" w:val="left"/>
        </w:tabs>
        <w:numPr>
          <w:ilvl w:val="0"/>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48" w:lineRule="exact"/>
        <w:rPr>
          <w:rFonts w:ascii="Times New Roman" w:cs="Times New Roman" w:eastAsia="Times New Roman" w:hAnsi="Times New Roman"/>
          <w:sz w:val="19"/>
          <w:szCs w:val="19"/>
          <w:color w:val="010000"/>
        </w:rPr>
      </w:pPr>
    </w:p>
    <w:p>
      <w:pPr>
        <w:jc w:val="both"/>
        <w:ind w:firstLine="1241"/>
        <w:spacing w:after="0" w:line="222" w:lineRule="auto"/>
        <w:tabs>
          <w:tab w:leader="none" w:pos="1844" w:val="left"/>
        </w:tabs>
        <w:numPr>
          <w:ilvl w:val="0"/>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of a Lender or an Issuing Bank setting forth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after receipt thereof.</w:t>
      </w:r>
    </w:p>
    <w:p>
      <w:pPr>
        <w:spacing w:after="0" w:line="158" w:lineRule="exact"/>
        <w:rPr>
          <w:rFonts w:ascii="Times New Roman" w:cs="Times New Roman" w:eastAsia="Times New Roman" w:hAnsi="Times New Roman"/>
          <w:sz w:val="19"/>
          <w:szCs w:val="19"/>
          <w:color w:val="010000"/>
        </w:rPr>
      </w:pPr>
    </w:p>
    <w:p>
      <w:pPr>
        <w:jc w:val="both"/>
        <w:ind w:firstLine="1241"/>
        <w:spacing w:after="0" w:line="216" w:lineRule="auto"/>
        <w:tabs>
          <w:tab w:leader="none" w:pos="1847" w:val="left"/>
        </w:tabs>
        <w:numPr>
          <w:ilvl w:val="0"/>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or an Issuing Bank pursuant to this Section for any increased costs or reductions incurred more than 270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23"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18"/>
          <w:szCs w:val="18"/>
          <w:color w:val="010000"/>
        </w:rPr>
        <w:t xml:space="preserve">SECTION 2.16. </w:t>
      </w:r>
      <w:r>
        <w:rPr>
          <w:rFonts w:ascii="Times New Roman" w:cs="Times New Roman" w:eastAsia="Times New Roman" w:hAnsi="Times New Roman"/>
          <w:sz w:val="18"/>
          <w:szCs w:val="18"/>
          <w:u w:val="single" w:color="auto"/>
          <w:color w:val="000000"/>
        </w:rPr>
        <w:t>Break Funding Payments</w:t>
      </w:r>
      <w:r>
        <w:rPr>
          <w:rFonts w:ascii="Times New Roman" w:cs="Times New Roman" w:eastAsia="Times New Roman" w:hAnsi="Times New Roman"/>
          <w:sz w:val="18"/>
          <w:szCs w:val="18"/>
          <w:color w:val="000000"/>
        </w:rPr>
        <w:t>. (a) With respect to Loans that are Term Benchmark Loans, in the event of (i)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 of any principal of any Term Benchmark Loan other than on the last day of an Interest Period applicable thereto (including as a result of an</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notice delivered pursuant hereto (regardless of whether such notice may be revoked under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and is revoked in accordance therewith),</w:t>
      </w:r>
    </w:p>
    <w:p>
      <w:pPr>
        <w:spacing w:after="0" w:line="1" w:lineRule="exact"/>
        <w:rPr>
          <w:sz w:val="20"/>
          <w:szCs w:val="20"/>
          <w:color w:val="auto"/>
        </w:rPr>
      </w:pPr>
    </w:p>
    <w:p>
      <w:pPr>
        <w:jc w:val="both"/>
        <w:ind w:firstLine="3"/>
        <w:spacing w:after="0" w:line="213" w:lineRule="auto"/>
        <w:tabs>
          <w:tab w:leader="none" w:pos="32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44" w:lineRule="exact"/>
        <w:rPr>
          <w:rFonts w:ascii="Times New Roman" w:cs="Times New Roman" w:eastAsia="Times New Roman" w:hAnsi="Times New Roman"/>
          <w:sz w:val="19"/>
          <w:szCs w:val="19"/>
          <w:color w:val="auto"/>
        </w:rPr>
      </w:pPr>
    </w:p>
    <w:p>
      <w:pPr>
        <w:jc w:val="both"/>
        <w:ind w:firstLine="1241"/>
        <w:spacing w:after="0" w:line="213" w:lineRule="auto"/>
        <w:tabs>
          <w:tab w:leader="none" w:pos="1847" w:val="left"/>
        </w:tabs>
        <w:numPr>
          <w:ilvl w:val="1"/>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 respect to Loans that are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and is revoked in accordance therewith), (iii) the assignment of any RFR Loan other than on the Interest Payment Date applicable thereto as a result of a request by the Borrower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57"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2.17.</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u w:val="single" w:color="auto"/>
          <w:color w:val="auto"/>
        </w:rPr>
        <w:t xml:space="preserve"> Payments Free of Taxes</w:t>
      </w:r>
      <w:r>
        <w:rPr>
          <w:rFonts w:ascii="Times New Roman" w:cs="Times New Roman" w:eastAsia="Times New Roman" w:hAnsi="Times New Roman"/>
          <w:sz w:val="19"/>
          <w:szCs w:val="19"/>
          <w:color w:val="auto"/>
        </w:rPr>
        <w:t>. All payments by or on account of any obligation of the Borrower under</w:t>
      </w:r>
    </w:p>
    <w:p>
      <w:pPr>
        <w:spacing w:after="0" w:line="216" w:lineRule="auto"/>
        <w:rPr>
          <w:sz w:val="20"/>
          <w:szCs w:val="20"/>
          <w:color w:val="auto"/>
        </w:rPr>
      </w:pPr>
      <w:r>
        <w:rPr>
          <w:rFonts w:ascii="Times New Roman" w:cs="Times New Roman" w:eastAsia="Times New Roman" w:hAnsi="Times New Roman"/>
          <w:sz w:val="18"/>
          <w:szCs w:val="18"/>
          <w:color w:val="auto"/>
        </w:rPr>
        <w:t>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w:t>
      </w:r>
    </w:p>
    <w:p>
      <w:pPr>
        <w:spacing w:after="0" w:line="225" w:lineRule="auto"/>
        <w:rPr>
          <w:sz w:val="20"/>
          <w:szCs w:val="20"/>
          <w:color w:val="auto"/>
        </w:rPr>
      </w:pPr>
      <w:r>
        <w:rPr>
          <w:rFonts w:ascii="Times New Roman" w:cs="Times New Roman" w:eastAsia="Times New Roman" w:hAnsi="Times New Roman"/>
          <w:sz w:val="18"/>
          <w:szCs w:val="18"/>
          <w:color w:val="auto"/>
        </w:rPr>
        <w:t>by any applicable withholding agent, then the applicable withholding agent shall be entitled to make such deduction or withholding and shall timely</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pay the full amount deducted or withheld to the relevant Governmental Authority in accordance with applicable law and, if such Tax is an Indemnified Tax, then the sum payable by the Borrower shall be increased as necessary so that after such deduction or withholding has been made</w:t>
      </w:r>
    </w:p>
    <w:p>
      <w:pPr>
        <w:spacing w:after="0" w:line="213" w:lineRule="auto"/>
        <w:rPr>
          <w:sz w:val="20"/>
          <w:szCs w:val="20"/>
          <w:color w:val="auto"/>
        </w:rPr>
      </w:pPr>
      <w:r>
        <w:rPr>
          <w:rFonts w:ascii="Times New Roman" w:cs="Times New Roman" w:eastAsia="Times New Roman" w:hAnsi="Times New Roman"/>
          <w:sz w:val="19"/>
          <w:szCs w:val="19"/>
          <w:color w:val="auto"/>
        </w:rPr>
        <w:t>(including such deductions and withholdings applicable to additional sums payable under this Section 2.17) each Lender (or, in the case of a</w:t>
      </w:r>
    </w:p>
    <w:p>
      <w:pPr>
        <w:spacing w:after="0" w:line="222" w:lineRule="auto"/>
        <w:rPr>
          <w:sz w:val="20"/>
          <w:szCs w:val="20"/>
          <w:color w:val="auto"/>
        </w:rPr>
      </w:pPr>
      <w:r>
        <w:rPr>
          <w:rFonts w:ascii="Times New Roman" w:cs="Times New Roman" w:eastAsia="Times New Roman" w:hAnsi="Times New Roman"/>
          <w:sz w:val="19"/>
          <w:szCs w:val="19"/>
          <w:color w:val="auto"/>
        </w:rPr>
        <w:t>payment made to the Administrative Agent for its own account, the Administrative Agent) receives an amount equal to the sum it would have received had no such deduction or withholding been made.</w:t>
      </w:r>
    </w:p>
    <w:p>
      <w:pPr>
        <w:spacing w:after="0" w:line="156" w:lineRule="exact"/>
        <w:rPr>
          <w:sz w:val="20"/>
          <w:szCs w:val="20"/>
          <w:color w:val="auto"/>
        </w:rPr>
      </w:pPr>
    </w:p>
    <w:p>
      <w:pPr>
        <w:ind w:firstLine="1241"/>
        <w:spacing w:after="0"/>
        <w:tabs>
          <w:tab w:leader="none" w:pos="1847" w:val="left"/>
        </w:tabs>
        <w:numPr>
          <w:ilvl w:val="0"/>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Other Taxes by the Borrower</w:t>
      </w:r>
      <w:r>
        <w:rPr>
          <w:rFonts w:ascii="Times New Roman" w:cs="Times New Roman" w:eastAsia="Times New Roman" w:hAnsi="Times New Roman"/>
          <w:sz w:val="19"/>
          <w:szCs w:val="19"/>
          <w:color w:val="auto"/>
        </w:rPr>
        <w:t>. The Borrower shall timely pay to the relevant Governmental Authority in accordance with applicable law, or at the option of the Administrative Agent timely reimburse it for, Other Taxes.</w:t>
      </w:r>
    </w:p>
    <w:p>
      <w:pPr>
        <w:spacing w:after="0" w:line="143" w:lineRule="exact"/>
        <w:rPr>
          <w:rFonts w:ascii="Times New Roman" w:cs="Times New Roman" w:eastAsia="Times New Roman" w:hAnsi="Times New Roman"/>
          <w:sz w:val="19"/>
          <w:szCs w:val="19"/>
          <w:color w:val="010000"/>
        </w:rPr>
      </w:pPr>
    </w:p>
    <w:p>
      <w:pPr>
        <w:jc w:val="both"/>
        <w:ind w:firstLine="1241"/>
        <w:spacing w:after="0" w:line="222" w:lineRule="auto"/>
        <w:tabs>
          <w:tab w:leader="none" w:pos="1844" w:val="left"/>
        </w:tabs>
        <w:numPr>
          <w:ilvl w:val="0"/>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As soon as practicable after any payment of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rFonts w:ascii="Times New Roman" w:cs="Times New Roman" w:eastAsia="Times New Roman" w:hAnsi="Times New Roman"/>
          <w:sz w:val="19"/>
          <w:szCs w:val="19"/>
          <w:color w:val="010000"/>
        </w:rPr>
      </w:pPr>
    </w:p>
    <w:p>
      <w:pPr>
        <w:ind w:firstLine="1241"/>
        <w:spacing w:after="0"/>
        <w:tabs>
          <w:tab w:leader="none" w:pos="1847" w:val="left"/>
        </w:tabs>
        <w:numPr>
          <w:ilvl w:val="0"/>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Indemnification by the Borrower</w:t>
      </w:r>
      <w:r>
        <w:rPr>
          <w:rFonts w:ascii="Times New Roman" w:cs="Times New Roman" w:eastAsia="Times New Roman" w:hAnsi="Times New Roman"/>
          <w:sz w:val="19"/>
          <w:szCs w:val="19"/>
          <w:color w:val="auto"/>
        </w:rPr>
        <w:t>. The Borrower shall indemnify each Recipient, within 10 days after demand therefor, for the full amount of any Indemnified Taxes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lxi</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2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Indemnified Taxes imposed or asserted on or attributable to amounts payable under this Section 2.17) payable or paid by such Recipient or required to be withheld or deducted from a payment to such Recipient and any reasonable expenses arising therefrom or with respect thereto, whether or not</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behalf or on behalf of a Lender, shall be conclusive absent manifest error.</w:t>
      </w:r>
    </w:p>
    <w:p>
      <w:pPr>
        <w:spacing w:after="0" w:line="161" w:lineRule="exact"/>
        <w:rPr>
          <w:sz w:val="20"/>
          <w:szCs w:val="20"/>
          <w:color w:val="auto"/>
        </w:rPr>
      </w:pPr>
    </w:p>
    <w:p>
      <w:pPr>
        <w:ind w:left="1840" w:hanging="599"/>
        <w:spacing w:after="0"/>
        <w:tabs>
          <w:tab w:leader="none" w:pos="1840"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010000"/>
        </w:rPr>
      </w:pPr>
    </w:p>
    <w:p>
      <w:pPr>
        <w:jc w:val="both"/>
        <w:ind w:firstLine="1241"/>
        <w:spacing w:after="0" w:line="216" w:lineRule="auto"/>
        <w:tabs>
          <w:tab w:leader="none" w:pos="1847"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58" w:lineRule="exact"/>
        <w:rPr>
          <w:sz w:val="20"/>
          <w:szCs w:val="20"/>
          <w:color w:val="auto"/>
        </w:rPr>
      </w:pPr>
    </w:p>
    <w:p>
      <w:pPr>
        <w:ind w:left="1860" w:hanging="619"/>
        <w:spacing w:after="0"/>
        <w:tabs>
          <w:tab w:leader="none" w:pos="1860"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limiting the generality of the foregoing:</w:t>
      </w:r>
    </w:p>
    <w:p>
      <w:pPr>
        <w:spacing w:after="0" w:line="168" w:lineRule="exact"/>
        <w:rPr>
          <w:rFonts w:ascii="Times New Roman" w:cs="Times New Roman" w:eastAsia="Times New Roman" w:hAnsi="Times New Roman"/>
          <w:sz w:val="19"/>
          <w:szCs w:val="19"/>
          <w:color w:val="010000"/>
        </w:rPr>
      </w:pPr>
    </w:p>
    <w:p>
      <w:pPr>
        <w:jc w:val="both"/>
        <w:ind w:left="1240" w:firstLine="620"/>
        <w:spacing w:after="0" w:line="222" w:lineRule="auto"/>
        <w:tabs>
          <w:tab w:leader="none" w:pos="2469" w:val="left"/>
        </w:tabs>
        <w:numPr>
          <w:ilvl w:val="1"/>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that is a U.S. Person shall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58" w:lineRule="exact"/>
        <w:rPr>
          <w:rFonts w:ascii="Times New Roman" w:cs="Times New Roman" w:eastAsia="Times New Roman" w:hAnsi="Times New Roman"/>
          <w:sz w:val="19"/>
          <w:szCs w:val="19"/>
          <w:color w:val="010000"/>
        </w:rPr>
      </w:pPr>
    </w:p>
    <w:p>
      <w:pPr>
        <w:jc w:val="both"/>
        <w:ind w:left="1240" w:firstLine="620"/>
        <w:spacing w:after="0" w:line="226" w:lineRule="auto"/>
        <w:tabs>
          <w:tab w:leader="none" w:pos="2472" w:val="left"/>
        </w:tabs>
        <w:numPr>
          <w:ilvl w:val="1"/>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2" w:lineRule="exact"/>
        <w:rPr>
          <w:sz w:val="20"/>
          <w:szCs w:val="20"/>
          <w:color w:val="auto"/>
        </w:rPr>
      </w:pPr>
    </w:p>
    <w:p>
      <w:pPr>
        <w:jc w:val="both"/>
        <w:ind w:left="1860"/>
        <w:spacing w:after="0" w:line="276" w:lineRule="auto"/>
        <w:tabs>
          <w:tab w:leader="none" w:pos="214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executed originals of IRS Form W-8BEN or IRS Form W-8BEN-E, as applicable, establishing an applicable exemption from, or reduction of, U.S. federal withholding Tax pursuant to such tax treaty;</w:t>
      </w:r>
    </w:p>
    <w:p>
      <w:pPr>
        <w:spacing w:after="0" w:line="200" w:lineRule="exact"/>
        <w:rPr>
          <w:rFonts w:ascii="Times New Roman" w:cs="Times New Roman" w:eastAsia="Times New Roman" w:hAnsi="Times New Roman"/>
          <w:sz w:val="19"/>
          <w:szCs w:val="19"/>
          <w:color w:val="auto"/>
        </w:rPr>
      </w:pPr>
    </w:p>
    <w:p>
      <w:pPr>
        <w:ind w:left="2120" w:hanging="260"/>
        <w:spacing w:after="0"/>
        <w:tabs>
          <w:tab w:leader="none" w:pos="212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W-8ECI;</w:t>
      </w:r>
    </w:p>
    <w:p>
      <w:pPr>
        <w:spacing w:after="0" w:line="258" w:lineRule="exact"/>
        <w:rPr>
          <w:rFonts w:ascii="Times New Roman" w:cs="Times New Roman" w:eastAsia="Times New Roman" w:hAnsi="Times New Roman"/>
          <w:sz w:val="19"/>
          <w:szCs w:val="19"/>
          <w:color w:val="auto"/>
        </w:rPr>
      </w:pPr>
    </w:p>
    <w:p>
      <w:pPr>
        <w:jc w:val="both"/>
        <w:ind w:left="1860"/>
        <w:spacing w:after="0" w:line="266" w:lineRule="auto"/>
        <w:tabs>
          <w:tab w:leader="none" w:pos="2132"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F-1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related to any Borrower as described in Section 881(c)(3)(C) of the Code and no payments under any Loan Documents are effectively connected with such Lender’s conduct of a U.S. trade or business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 (y) executed originals of IRS Form W-8BEN or IRS Form W-8BEN-E, as applicable;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lxii</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68" w:lineRule="exact"/>
        <w:rPr>
          <w:sz w:val="20"/>
          <w:szCs w:val="20"/>
          <w:color w:val="auto"/>
        </w:rPr>
      </w:pPr>
    </w:p>
    <w:p>
      <w:pPr>
        <w:jc w:val="both"/>
        <w:ind w:left="1860"/>
        <w:spacing w:after="0" w:line="254" w:lineRule="auto"/>
        <w:tabs>
          <w:tab w:leader="none" w:pos="216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(for example, where the Lender is a partnership or a participating Lender), executed originals of IRS Form W-8IMY, accompanied by IRS Form W-8ECI, IRS Form W-8BEN or IRS Form W-8BEN-E, a U.S. Tax Compliance Certificate substantially in the form of </w:t>
      </w:r>
      <w:r>
        <w:rPr>
          <w:rFonts w:ascii="Times New Roman" w:cs="Times New Roman" w:eastAsia="Times New Roman" w:hAnsi="Times New Roman"/>
          <w:sz w:val="19"/>
          <w:szCs w:val="19"/>
          <w:u w:val="single" w:color="auto"/>
          <w:color w:val="auto"/>
        </w:rPr>
        <w:t>Exhibit F-2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F-3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F-4</w:t>
      </w:r>
      <w:r>
        <w:rPr>
          <w:rFonts w:ascii="Times New Roman" w:cs="Times New Roman" w:eastAsia="Times New Roman" w:hAnsi="Times New Roman"/>
          <w:sz w:val="19"/>
          <w:szCs w:val="19"/>
          <w:color w:val="auto"/>
        </w:rPr>
        <w:t xml:space="preserve"> on behalf of such direct and indirect partner(s);</w:t>
      </w:r>
    </w:p>
    <w:p>
      <w:pPr>
        <w:spacing w:after="0" w:line="161" w:lineRule="exact"/>
        <w:rPr>
          <w:sz w:val="20"/>
          <w:szCs w:val="20"/>
          <w:color w:val="auto"/>
        </w:rPr>
      </w:pPr>
    </w:p>
    <w:p>
      <w:pPr>
        <w:jc w:val="both"/>
        <w:ind w:left="1240" w:firstLine="620"/>
        <w:spacing w:after="0" w:line="216" w:lineRule="auto"/>
        <w:tabs>
          <w:tab w:leader="none" w:pos="2472" w:val="left"/>
        </w:tabs>
        <w:numPr>
          <w:ilvl w:val="2"/>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and</w:t>
      </w:r>
    </w:p>
    <w:p>
      <w:pPr>
        <w:spacing w:after="0" w:line="157" w:lineRule="exact"/>
        <w:rPr>
          <w:rFonts w:ascii="Times New Roman" w:cs="Times New Roman" w:eastAsia="Times New Roman" w:hAnsi="Times New Roman"/>
          <w:sz w:val="19"/>
          <w:szCs w:val="19"/>
          <w:color w:val="010000"/>
        </w:rPr>
      </w:pPr>
    </w:p>
    <w:p>
      <w:pPr>
        <w:jc w:val="both"/>
        <w:ind w:left="1240" w:firstLine="620"/>
        <w:spacing w:after="0" w:line="213" w:lineRule="auto"/>
        <w:tabs>
          <w:tab w:leader="none" w:pos="2469" w:val="left"/>
        </w:tabs>
        <w:numPr>
          <w:ilvl w:val="2"/>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any requirements of FATCA (including those contained in Section 1471(b) or 1472(b) of the Code, as applicable), such Lender shall deliver to the Borrower and the Administrative Agent on or prior to the date on which such Lender becomes a Lender under this Agreement (and from time to time thereafter upon the reasonable request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and to determine the amount, if any, to deduct and withhold from such payment. Solely for purposes of this clause (D), “FATCA” shall include any amendments made to FATCA after the date of this Agreement.</w:t>
      </w:r>
    </w:p>
    <w:p>
      <w:pPr>
        <w:spacing w:after="0" w:line="175" w:lineRule="exact"/>
        <w:rPr>
          <w:rFonts w:ascii="Times New Roman" w:cs="Times New Roman" w:eastAsia="Times New Roman" w:hAnsi="Times New Roman"/>
          <w:sz w:val="19"/>
          <w:szCs w:val="19"/>
          <w:color w:val="010000"/>
        </w:rPr>
      </w:pPr>
    </w:p>
    <w:p>
      <w:pPr>
        <w:jc w:val="both"/>
        <w:ind w:firstLine="622"/>
        <w:spacing w:after="0" w:line="254" w:lineRule="auto"/>
        <w:tabs>
          <w:tab w:leader="none" w:pos="1236"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agrees that if any documentation it previously delivered expires or becomes obsolete or inaccurate in any respect, it shall update such documentation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Section 2.17(f). Notwithstanding any other provision of this Section 2.17(f), a Lender shall not be required to deliver any documentation that such Lender is not legally eligible to deliver.</w:t>
      </w:r>
    </w:p>
    <w:p>
      <w:pPr>
        <w:spacing w:after="0" w:line="171"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52" w:val="left"/>
        </w:tabs>
        <w:numPr>
          <w:ilvl w:val="1"/>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lxiii</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net of all out-of-pocket expenses (including Taxes) of such indemnified party and without interest (other than any interest paid by the relevant Governmental Authority with respect to such refund). Such indemnifying party, upon the request of such indemnified party, shall repay to such</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indemnified party the amount paid over pursuant to this Section 2.17(g) (plus any penalties, interest or other charges imposed by the relevant Governmental Authority) in the event that such indemnified party is required to repay such refund to such Governmental Authority.</w:t>
      </w:r>
    </w:p>
    <w:p>
      <w:pPr>
        <w:spacing w:after="0" w:line="213" w:lineRule="auto"/>
        <w:rPr>
          <w:sz w:val="20"/>
          <w:szCs w:val="20"/>
          <w:color w:val="auto"/>
        </w:rPr>
      </w:pPr>
      <w:r>
        <w:rPr>
          <w:rFonts w:ascii="Times New Roman" w:cs="Times New Roman" w:eastAsia="Times New Roman" w:hAnsi="Times New Roman"/>
          <w:sz w:val="19"/>
          <w:szCs w:val="19"/>
          <w:color w:val="auto"/>
        </w:rPr>
        <w:t>Notwithstanding anything to the contrary in this Section 2.17(g), in no event will the indemnified party be required to pay any amount to an</w:t>
      </w:r>
    </w:p>
    <w:p>
      <w:pPr>
        <w:jc w:val="both"/>
        <w:spacing w:after="0" w:line="205" w:lineRule="auto"/>
        <w:rPr>
          <w:sz w:val="20"/>
          <w:szCs w:val="20"/>
          <w:color w:val="auto"/>
        </w:rPr>
      </w:pPr>
      <w:r>
        <w:rPr>
          <w:rFonts w:ascii="Times New Roman" w:cs="Times New Roman" w:eastAsia="Times New Roman" w:hAnsi="Times New Roman"/>
          <w:sz w:val="19"/>
          <w:szCs w:val="19"/>
          <w:color w:val="auto"/>
        </w:rPr>
        <w:t>indemnifying party pursuant to this Section 2.17(g) the payment of which would place the indemnified party in a less favorable net after-Tax position than the indemnified party would have been in if the Tax subject to indemnification and giving rise to such refund had not been deducted,</w:t>
      </w:r>
    </w:p>
    <w:p>
      <w:pPr>
        <w:spacing w:after="0" w:line="213" w:lineRule="auto"/>
        <w:rPr>
          <w:sz w:val="20"/>
          <w:szCs w:val="20"/>
          <w:color w:val="auto"/>
        </w:rPr>
      </w:pPr>
      <w:r>
        <w:rPr>
          <w:rFonts w:ascii="Times New Roman" w:cs="Times New Roman" w:eastAsia="Times New Roman" w:hAnsi="Times New Roman"/>
          <w:sz w:val="19"/>
          <w:szCs w:val="19"/>
          <w:color w:val="auto"/>
        </w:rPr>
        <w:t>withheld or otherwise imposed and the indemnification payments or additional amounts with respect to such Tax had never been paid. This Section</w:t>
      </w:r>
    </w:p>
    <w:p>
      <w:pPr>
        <w:spacing w:after="0" w:line="222" w:lineRule="auto"/>
        <w:rPr>
          <w:sz w:val="20"/>
          <w:szCs w:val="20"/>
          <w:color w:val="auto"/>
        </w:rPr>
      </w:pPr>
      <w:r>
        <w:rPr>
          <w:rFonts w:ascii="Times New Roman" w:cs="Times New Roman" w:eastAsia="Times New Roman" w:hAnsi="Times New Roman"/>
          <w:sz w:val="19"/>
          <w:szCs w:val="19"/>
          <w:color w:val="auto"/>
        </w:rPr>
        <w:t>2.17(g) shall not be construed to require any indemnified party to make available its Tax returns (or any other information relating to its Taxes that it deems confidential) to the indemnifying party or any other Person.</w:t>
      </w:r>
    </w:p>
    <w:p>
      <w:pPr>
        <w:spacing w:after="0" w:line="156" w:lineRule="exact"/>
        <w:rPr>
          <w:sz w:val="20"/>
          <w:szCs w:val="20"/>
          <w:color w:val="auto"/>
        </w:rPr>
      </w:pPr>
    </w:p>
    <w:p>
      <w:pPr>
        <w:jc w:val="both"/>
        <w:ind w:firstLine="1241"/>
        <w:spacing w:after="0" w:line="226" w:lineRule="auto"/>
        <w:tabs>
          <w:tab w:leader="none" w:pos="1844" w:val="left"/>
        </w:tabs>
        <w:numPr>
          <w:ilvl w:val="0"/>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38"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For purposes of this Section 2.17, the term “Lender” includes each Issuing Bank and the term “applicable</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law” includes FATCA.</w:t>
      </w:r>
    </w:p>
    <w:p>
      <w:pPr>
        <w:spacing w:after="0" w:line="161"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2.18.</w:t>
      </w:r>
      <w:r>
        <w:rPr>
          <w:sz w:val="20"/>
          <w:szCs w:val="20"/>
          <w:color w:val="auto"/>
        </w:rPr>
        <w:tab/>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10" w:lineRule="auto"/>
        <w:tabs>
          <w:tab w:leader="none" w:pos="1847"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make each payment required to be made by it hereunder (whether of principal, interest, fees or reimbursement of LC Disbursements, or of amounts payable under Section 2.15, 2.16 or 2.17, or otherwise) prior to (i) in the case of payments denominated in Dollars, 2:00 p.m., New York City time, and (ii) in the case of payments denominated in a Foreign Currency, 2:00 p.m., Local Time, in the city of the Administrative Agent’s Foreign Currency Payment Office for such currency, in each case on the date when due or the date fixed for any prepayment hereunder,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383 Madison Avenue, New York, New York, or, in the case of a Credit Event denominated in a Foreign Currency, the Administrative Agent’s Foreign Currency Payment Office for such currency, except payments to be made directly to Issuing Banks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clause (a),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Amount (as of the date of repayment) of such payment due, it being the intention of the parties hereto that the Borrower takes all risks of the imposition of any such currency control or exchange regulations.</w:t>
      </w:r>
    </w:p>
    <w:p>
      <w:pPr>
        <w:spacing w:after="0" w:line="160" w:lineRule="exact"/>
        <w:rPr>
          <w:rFonts w:ascii="Times New Roman" w:cs="Times New Roman" w:eastAsia="Times New Roman" w:hAnsi="Times New Roman"/>
          <w:sz w:val="19"/>
          <w:szCs w:val="19"/>
          <w:color w:val="010000"/>
        </w:rPr>
      </w:pPr>
    </w:p>
    <w:p>
      <w:pPr>
        <w:jc w:val="both"/>
        <w:ind w:firstLine="1241"/>
        <w:spacing w:after="0" w:line="226" w:lineRule="auto"/>
        <w:tabs>
          <w:tab w:leader="none" w:pos="1844"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lxiv</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due hereunder, ratably among the parties entitled thereto in accordance with the amounts of interest and fees then due to such parties, and</w:t>
      </w:r>
    </w:p>
    <w:p>
      <w:pPr>
        <w:ind w:firstLine="3"/>
        <w:spacing w:after="0" w:line="229" w:lineRule="auto"/>
        <w:tabs>
          <w:tab w:leader="none" w:pos="29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towards payment of principal and unreimbursed LC Disbursements then due hereunder, ratably among the parties entitled thereto in accordance with the amounts of principal and unreimbursed LC Disbursements then due to such parties.</w:t>
      </w:r>
    </w:p>
    <w:p>
      <w:pPr>
        <w:spacing w:after="0" w:line="143" w:lineRule="exact"/>
        <w:rPr>
          <w:rFonts w:ascii="Times New Roman" w:cs="Times New Roman" w:eastAsia="Times New Roman" w:hAnsi="Times New Roman"/>
          <w:sz w:val="19"/>
          <w:szCs w:val="19"/>
          <w:color w:val="auto"/>
        </w:rPr>
      </w:pPr>
    </w:p>
    <w:p>
      <w:pPr>
        <w:jc w:val="both"/>
        <w:ind w:firstLine="1241"/>
        <w:spacing w:after="0" w:line="223" w:lineRule="auto"/>
        <w:tabs>
          <w:tab w:leader="none" w:pos="1847" w:val="left"/>
        </w:tabs>
        <w:numPr>
          <w:ilvl w:val="1"/>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(b)(i) of the definition of “Excluded Taxes,” a participation acquired pursuant to this Section 2.18(c) shall be treated as having been acquired on the earlier date(s) on which the applicable Lender acquired the applicable interest in the Commitment(s) or Loan(s) to which such participation relates.</w:t>
      </w:r>
    </w:p>
    <w:p>
      <w:pPr>
        <w:spacing w:after="0" w:line="158" w:lineRule="exact"/>
        <w:rPr>
          <w:rFonts w:ascii="Times New Roman" w:cs="Times New Roman" w:eastAsia="Times New Roman" w:hAnsi="Times New Roman"/>
          <w:sz w:val="18"/>
          <w:szCs w:val="18"/>
          <w:color w:val="010000"/>
        </w:rPr>
      </w:pPr>
    </w:p>
    <w:p>
      <w:pPr>
        <w:jc w:val="both"/>
        <w:ind w:firstLine="1241"/>
        <w:spacing w:after="0" w:line="216" w:lineRule="auto"/>
        <w:tabs>
          <w:tab w:leader="none" w:pos="1844" w:val="left"/>
        </w:tabs>
        <w:numPr>
          <w:ilvl w:val="1"/>
          <w:numId w:val="1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144" w:lineRule="exact"/>
        <w:rPr>
          <w:rFonts w:ascii="Times New Roman" w:cs="Times New Roman" w:eastAsia="Times New Roman" w:hAnsi="Times New Roman"/>
          <w:sz w:val="19"/>
          <w:szCs w:val="19"/>
          <w:color w:val="010000"/>
        </w:rPr>
      </w:pPr>
    </w:p>
    <w:p>
      <w:pPr>
        <w:jc w:val="both"/>
        <w:ind w:firstLine="1241"/>
        <w:spacing w:after="0" w:line="219" w:lineRule="auto"/>
        <w:tabs>
          <w:tab w:leader="none" w:pos="1847" w:val="left"/>
        </w:tabs>
        <w:numPr>
          <w:ilvl w:val="1"/>
          <w:numId w:val="1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shall fail to make any payment required to be made by it pursuant to Section 2.06(d) or (e), 2.07(b), 2.18(d) or 9.03(c), then the Administrative Agent may, in its discretion (notwithstanding any contrary provision hereof), (i) apply any amounts thereafter received by the Administrative Agent for the account of such Lender and for the benefit of the Administrative Agent or the Issuing Banks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45"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2.19. </w:t>
      </w:r>
      <w:r>
        <w:rPr>
          <w:rFonts w:ascii="Times New Roman" w:cs="Times New Roman" w:eastAsia="Times New Roman" w:hAnsi="Times New Roman"/>
          <w:sz w:val="19"/>
          <w:szCs w:val="19"/>
          <w:u w:val="single" w:color="auto"/>
          <w:color w:val="000000"/>
        </w:rPr>
        <w:t>Mitigation Obligations; Replacement of Lenders</w:t>
      </w:r>
      <w:r>
        <w:rPr>
          <w:rFonts w:ascii="Times New Roman" w:cs="Times New Roman" w:eastAsia="Times New Roman" w:hAnsi="Times New Roman"/>
          <w:sz w:val="19"/>
          <w:szCs w:val="19"/>
          <w:color w:val="000000"/>
        </w:rPr>
        <w:t>. (a) If any Lender requests compensation under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Section 2.15, or the Borrower is required to pay any Indemnified Taxes or additional amounts to any Lender or any Governmental Authority for the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such Lender, such designation or assignment (i) would eliminate or reduce amounts payable pursuant to Section 2.15 or 2.17, as the case may be, in the future and (ii) would not subject such Lender to any unreimbursed cost or expense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lxv</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would not otherwise be disadvantageous to such Lender. The Borrower hereby agrees to pay all reasonable costs and expenses incurred by any Lender in connection with any such designation or assignment.</w:t>
      </w:r>
    </w:p>
    <w:p>
      <w:pPr>
        <w:spacing w:after="0" w:line="156" w:lineRule="exact"/>
        <w:rPr>
          <w:sz w:val="20"/>
          <w:szCs w:val="20"/>
          <w:color w:val="auto"/>
        </w:rPr>
      </w:pPr>
    </w:p>
    <w:p>
      <w:pPr>
        <w:jc w:val="both"/>
        <w:ind w:firstLine="1241"/>
        <w:spacing w:after="0" w:line="211" w:lineRule="auto"/>
        <w:tabs>
          <w:tab w:leader="none" w:pos="1847" w:val="left"/>
        </w:tabs>
        <w:numPr>
          <w:ilvl w:val="0"/>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and notwithstanding anything in Section 9.04 to the contrary, such assignment and delegation shall be deemed effective with respect to such Lender whether or not such Lender enters into an Assignment and Assumption;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48"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2.20. </w:t>
      </w:r>
      <w:r>
        <w:rPr>
          <w:rFonts w:ascii="Times New Roman" w:cs="Times New Roman" w:eastAsia="Times New Roman" w:hAnsi="Times New Roman"/>
          <w:sz w:val="19"/>
          <w:szCs w:val="19"/>
          <w:u w:val="single" w:color="auto"/>
          <w:color w:val="000000"/>
        </w:rPr>
        <w:t>Expansion Option</w:t>
      </w:r>
      <w:r>
        <w:rPr>
          <w:rFonts w:ascii="Times New Roman" w:cs="Times New Roman" w:eastAsia="Times New Roman" w:hAnsi="Times New Roman"/>
          <w:sz w:val="19"/>
          <w:szCs w:val="19"/>
          <w:color w:val="000000"/>
        </w:rPr>
        <w:t>. The Borrower may from time to time elect to increase the Commitments in minimum</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increments of $25,000,000 so long as, after giving effect thereto, the aggregate amount of such increases does not exceed the greater of (x)</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$250,000,000 and (y) 35% of Consolidated Adjusted EBITDA. The Borrower may arrange for any such increase to be provided by one or more Lenders (each Lender so agreeing to an increase in its Commitment,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or by one or more new banks, financial institutions or</w:t>
      </w:r>
    </w:p>
    <w:p>
      <w:pPr>
        <w:spacing w:after="0" w:line="224" w:lineRule="auto"/>
        <w:rPr>
          <w:sz w:val="20"/>
          <w:szCs w:val="20"/>
          <w:color w:val="auto"/>
        </w:rPr>
      </w:pPr>
      <w:r>
        <w:rPr>
          <w:rFonts w:ascii="Times New Roman" w:cs="Times New Roman" w:eastAsia="Times New Roman" w:hAnsi="Times New Roman"/>
          <w:sz w:val="18"/>
          <w:szCs w:val="18"/>
          <w:color w:val="auto"/>
        </w:rPr>
        <w:t>other entities (each such new bank, financial institution or other entity, an “</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to increase their existing Commitments or extend</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Commitments,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Augmenting Lender shall be subject to the approval of the Borrower and the Administrative Agent, (ii) no Augmenting Lender shall be an Ineligible Institution and (iii) (x) in the case of an Increasing Lender, the Borrower</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and such Increasing Lender execute an agreement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and (y) in the case of an Augmenting Lender, the</w:t>
      </w:r>
    </w:p>
    <w:p>
      <w:pPr>
        <w:spacing w:after="0" w:line="205" w:lineRule="auto"/>
        <w:rPr>
          <w:sz w:val="20"/>
          <w:szCs w:val="20"/>
          <w:color w:val="auto"/>
        </w:rPr>
      </w:pPr>
      <w:r>
        <w:rPr>
          <w:rFonts w:ascii="Times New Roman" w:cs="Times New Roman" w:eastAsia="Times New Roman" w:hAnsi="Times New Roman"/>
          <w:sz w:val="19"/>
          <w:szCs w:val="19"/>
          <w:color w:val="auto"/>
        </w:rPr>
        <w:t xml:space="preserve">Borrower and such Augmenting Lender execute an agreement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No consent of any Lender (other than the Lenders participating in the increase) shall be required for any increase in Commitments pursuant to this Section 2.20. Increases and new</w:t>
      </w:r>
    </w:p>
    <w:p>
      <w:pPr>
        <w:spacing w:after="0" w:line="213" w:lineRule="auto"/>
        <w:rPr>
          <w:sz w:val="20"/>
          <w:szCs w:val="20"/>
          <w:color w:val="auto"/>
        </w:rPr>
      </w:pPr>
      <w:r>
        <w:rPr>
          <w:rFonts w:ascii="Times New Roman" w:cs="Times New Roman" w:eastAsia="Times New Roman" w:hAnsi="Times New Roman"/>
          <w:sz w:val="19"/>
          <w:szCs w:val="19"/>
          <w:color w:val="auto"/>
        </w:rPr>
        <w:t>Commitments created pursuant to this Section 2.20 shall become effective on the date agreed by the Borrower, the Administrative Agent and the</w:t>
      </w:r>
    </w:p>
    <w:p>
      <w:pPr>
        <w:spacing w:after="0" w:line="216" w:lineRule="auto"/>
        <w:rPr>
          <w:sz w:val="20"/>
          <w:szCs w:val="20"/>
          <w:color w:val="auto"/>
        </w:rPr>
      </w:pPr>
      <w:r>
        <w:rPr>
          <w:rFonts w:ascii="Times New Roman" w:cs="Times New Roman" w:eastAsia="Times New Roman" w:hAnsi="Times New Roman"/>
          <w:sz w:val="18"/>
          <w:szCs w:val="18"/>
          <w:color w:val="auto"/>
        </w:rPr>
        <w:t>relevant Increasing Lenders or Augmenting Lenders, and the Administrative Agent shall notify each Lender thereof. Notwithstanding the foregoing, no increase in the Commitments (or in the Commitment of any Lender) shall become effective under this paragraph unless, (i) on the proposed date</w:t>
      </w:r>
    </w:p>
    <w:p>
      <w:pPr>
        <w:spacing w:after="0" w:line="213" w:lineRule="auto"/>
        <w:rPr>
          <w:sz w:val="20"/>
          <w:szCs w:val="20"/>
          <w:color w:val="auto"/>
        </w:rPr>
      </w:pPr>
      <w:r>
        <w:rPr>
          <w:rFonts w:ascii="Times New Roman" w:cs="Times New Roman" w:eastAsia="Times New Roman" w:hAnsi="Times New Roman"/>
          <w:sz w:val="19"/>
          <w:szCs w:val="19"/>
          <w:color w:val="auto"/>
        </w:rPr>
        <w:t>of the effectiveness of such increase, (A) the conditions set forth in paragraphs (a) and (b) of Section 4.02 (without giving effect to the first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parenthetical in Section 4.02(a)) shall be satisfied or waived by the Required Lenders and the Administrative Agent shall have received a certificate to that effect dated such date and executed by a Financial Officer of the Borrower and (B) the Borrower shall be in compliance (on a pro forma</w:t>
      </w:r>
    </w:p>
    <w:p>
      <w:pPr>
        <w:spacing w:after="0" w:line="213" w:lineRule="auto"/>
        <w:rPr>
          <w:sz w:val="20"/>
          <w:szCs w:val="20"/>
          <w:color w:val="auto"/>
        </w:rPr>
      </w:pPr>
      <w:r>
        <w:rPr>
          <w:rFonts w:ascii="Times New Roman" w:cs="Times New Roman" w:eastAsia="Times New Roman" w:hAnsi="Times New Roman"/>
          <w:sz w:val="19"/>
          <w:szCs w:val="19"/>
          <w:color w:val="auto"/>
        </w:rPr>
        <w:t>basis) with the covenant contained in Section 6.05 and (ii) the Administrative Agent shall have received documents consistent with those delivered</w:t>
      </w:r>
    </w:p>
    <w:p>
      <w:pPr>
        <w:spacing w:after="0" w:line="205" w:lineRule="auto"/>
        <w:rPr>
          <w:sz w:val="20"/>
          <w:szCs w:val="20"/>
          <w:color w:val="auto"/>
        </w:rPr>
      </w:pPr>
      <w:r>
        <w:rPr>
          <w:rFonts w:ascii="Times New Roman" w:cs="Times New Roman" w:eastAsia="Times New Roman" w:hAnsi="Times New Roman"/>
          <w:sz w:val="19"/>
          <w:szCs w:val="19"/>
          <w:color w:val="auto"/>
        </w:rPr>
        <w:t>on the Effective Date as to the corporate power and authority of the Borrower to borrow hereunder after giving effect to such increase. On the effective date of any increase in the Commitments, (i) each relevant Increasing Lender and Augmenting Lender shall make available to the</w:t>
      </w:r>
    </w:p>
    <w:p>
      <w:pPr>
        <w:spacing w:after="0" w:line="213" w:lineRule="auto"/>
        <w:rPr>
          <w:sz w:val="20"/>
          <w:szCs w:val="20"/>
          <w:color w:val="auto"/>
        </w:rPr>
      </w:pPr>
      <w:r>
        <w:rPr>
          <w:rFonts w:ascii="Times New Roman" w:cs="Times New Roman" w:eastAsia="Times New Roman" w:hAnsi="Times New Roman"/>
          <w:sz w:val="19"/>
          <w:szCs w:val="19"/>
          <w:color w:val="auto"/>
        </w:rPr>
        <w:t>Administrative Agent such amounts in immediately available funds as the Administrative Agent shall determine, for the benefit of the other</w:t>
      </w:r>
    </w:p>
    <w:p>
      <w:pPr>
        <w:spacing w:after="0" w:line="216" w:lineRule="auto"/>
        <w:rPr>
          <w:sz w:val="20"/>
          <w:szCs w:val="20"/>
          <w:color w:val="auto"/>
        </w:rPr>
      </w:pPr>
      <w:r>
        <w:rPr>
          <w:rFonts w:ascii="Times New Roman" w:cs="Times New Roman" w:eastAsia="Times New Roman" w:hAnsi="Times New Roman"/>
          <w:sz w:val="18"/>
          <w:szCs w:val="18"/>
          <w:color w:val="auto"/>
        </w:rPr>
        <w:t>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lxvi</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be deemed to have repaid and reborrowed all outstanding Loans as of the date of any increase in the Commitments (with such reborrowing to consist of the Types of Loans, with related Interest Periods if applicable, specified in a notice delivered by the Borrower, in accordance with the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requirements of Section 2.03). The deemed payments made pursuant to clause (ii) of the immediately preceding sentence shall be accompanied by payment of all accrued interest on the amount prepaid and, in respect of each Term Benchmark Loan, shall be subject to indemnification by the</w:t>
      </w:r>
    </w:p>
    <w:p>
      <w:pPr>
        <w:spacing w:after="0" w:line="224" w:lineRule="auto"/>
        <w:rPr>
          <w:sz w:val="20"/>
          <w:szCs w:val="20"/>
          <w:color w:val="auto"/>
        </w:rPr>
      </w:pPr>
      <w:r>
        <w:rPr>
          <w:rFonts w:ascii="Times New Roman" w:cs="Times New Roman" w:eastAsia="Times New Roman" w:hAnsi="Times New Roman"/>
          <w:sz w:val="18"/>
          <w:szCs w:val="18"/>
          <w:color w:val="auto"/>
        </w:rPr>
        <w:t>Borrower pursuant to the provisions of Section 2.16 if the deemed payment occurs other than on the last day of the related Interest Periods. Nothing</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contained in this Section 2.20 shall constitute, or otherwise be deemed to be, a commitment on the part of any Lender to increase its Commitment hereunder at any time.</w:t>
      </w:r>
    </w:p>
    <w:p>
      <w:pPr>
        <w:spacing w:after="0" w:line="15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2.21.</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 sum</w:t>
      </w:r>
    </w:p>
    <w:p>
      <w:pPr>
        <w:spacing w:after="0" w:line="205" w:lineRule="auto"/>
        <w:rPr>
          <w:sz w:val="20"/>
          <w:szCs w:val="20"/>
          <w:color w:val="auto"/>
        </w:rPr>
      </w:pPr>
      <w:r>
        <w:rPr>
          <w:rFonts w:ascii="Times New Roman" w:cs="Times New Roman" w:eastAsia="Times New Roman" w:hAnsi="Times New Roman"/>
          <w:sz w:val="19"/>
          <w:szCs w:val="19"/>
          <w:color w:val="auto"/>
        </w:rPr>
        <w:t>due from the Borrower hereunder in the currency expressed to be payable herein (the “</w:t>
      </w:r>
      <w:r>
        <w:rPr>
          <w:rFonts w:ascii="Times New Roman" w:cs="Times New Roman" w:eastAsia="Times New Roman" w:hAnsi="Times New Roman"/>
          <w:sz w:val="19"/>
          <w:szCs w:val="19"/>
          <w:u w:val="single" w:color="auto"/>
          <w:color w:val="auto"/>
        </w:rPr>
        <w:t>specified currency</w:t>
      </w:r>
      <w:r>
        <w:rPr>
          <w:rFonts w:ascii="Times New Roman" w:cs="Times New Roman" w:eastAsia="Times New Roman" w:hAnsi="Times New Roman"/>
          <w:sz w:val="19"/>
          <w:szCs w:val="19"/>
          <w:color w:val="auto"/>
        </w:rPr>
        <w:t>”) into another currency, the parties hereto agree, to the fullest extent that they may effectively do so, that the rate of exchange used shall be that at which in accordance with normal banking</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w:t>
      </w:r>
    </w:p>
    <w:p>
      <w:pPr>
        <w:spacing w:after="0" w:line="213" w:lineRule="auto"/>
        <w:rPr>
          <w:sz w:val="20"/>
          <w:szCs w:val="20"/>
          <w:color w:val="auto"/>
        </w:rPr>
      </w:pPr>
      <w:r>
        <w:rPr>
          <w:rFonts w:ascii="Times New Roman" w:cs="Times New Roman" w:eastAsia="Times New Roman" w:hAnsi="Times New Roman"/>
          <w:sz w:val="19"/>
          <w:szCs w:val="19"/>
          <w:color w:val="auto"/>
        </w:rPr>
        <w:t>sum due to any Lender or the Administrative Agent hereunder shall, notwithstanding any judgment in a currency other than the specified currency,</w:t>
      </w:r>
    </w:p>
    <w:p>
      <w:pPr>
        <w:jc w:val="both"/>
        <w:spacing w:after="0" w:line="205" w:lineRule="auto"/>
        <w:rPr>
          <w:sz w:val="20"/>
          <w:szCs w:val="20"/>
          <w:color w:val="auto"/>
        </w:rPr>
      </w:pPr>
      <w:r>
        <w:rPr>
          <w:rFonts w:ascii="Times New Roman" w:cs="Times New Roman" w:eastAsia="Times New Roman" w:hAnsi="Times New Roman"/>
          <w:sz w:val="19"/>
          <w:szCs w:val="19"/>
          <w:color w:val="auto"/>
        </w:rPr>
        <w:t>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w:t>
      </w:r>
    </w:p>
    <w:p>
      <w:pPr>
        <w:spacing w:after="0" w:line="213" w:lineRule="auto"/>
        <w:rPr>
          <w:sz w:val="20"/>
          <w:szCs w:val="20"/>
          <w:color w:val="auto"/>
        </w:rPr>
      </w:pPr>
      <w:r>
        <w:rPr>
          <w:rFonts w:ascii="Times New Roman" w:cs="Times New Roman" w:eastAsia="Times New Roman" w:hAnsi="Times New Roman"/>
          <w:sz w:val="19"/>
          <w:szCs w:val="19"/>
          <w:color w:val="auto"/>
        </w:rPr>
        <w:t>reasonable banking procedures purchase the specified currency with such other currency. If the amount of the specified currency so purchased is</w:t>
      </w:r>
    </w:p>
    <w:p>
      <w:pPr>
        <w:spacing w:after="0" w:line="205" w:lineRule="auto"/>
        <w:rPr>
          <w:sz w:val="20"/>
          <w:szCs w:val="20"/>
          <w:color w:val="auto"/>
        </w:rPr>
      </w:pPr>
      <w:r>
        <w:rPr>
          <w:rFonts w:ascii="Times New Roman" w:cs="Times New Roman" w:eastAsia="Times New Roman" w:hAnsi="Times New Roman"/>
          <w:sz w:val="19"/>
          <w:szCs w:val="19"/>
          <w:color w:val="auto"/>
        </w:rPr>
        <w:t>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w:t>
      </w:r>
    </w:p>
    <w:p>
      <w:pPr>
        <w:spacing w:after="0" w:line="224" w:lineRule="auto"/>
        <w:rPr>
          <w:sz w:val="20"/>
          <w:szCs w:val="20"/>
          <w:color w:val="auto"/>
        </w:rPr>
      </w:pPr>
      <w:r>
        <w:rPr>
          <w:rFonts w:ascii="Times New Roman" w:cs="Times New Roman" w:eastAsia="Times New Roman" w:hAnsi="Times New Roman"/>
          <w:sz w:val="18"/>
          <w:szCs w:val="18"/>
          <w:color w:val="auto"/>
        </w:rPr>
        <w:t>Administrative Agent, as the case may be, against such loss, and if the amount of the specified currency so purchased exceeds (a) the sum originally</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case may be, agrees to remit such excess to the Borrower.</w:t>
      </w:r>
    </w:p>
    <w:p>
      <w:pPr>
        <w:spacing w:after="0" w:line="161" w:lineRule="exact"/>
        <w:rPr>
          <w:sz w:val="20"/>
          <w:szCs w:val="20"/>
          <w:color w:val="auto"/>
        </w:rPr>
      </w:pPr>
    </w:p>
    <w:p>
      <w:pPr>
        <w:ind w:firstLine="1238"/>
        <w:spacing w:after="0" w:line="233" w:lineRule="auto"/>
        <w:rPr>
          <w:sz w:val="20"/>
          <w:szCs w:val="20"/>
          <w:color w:val="auto"/>
        </w:rPr>
      </w:pPr>
      <w:r>
        <w:rPr>
          <w:rFonts w:ascii="Times New Roman" w:cs="Times New Roman" w:eastAsia="Times New Roman" w:hAnsi="Times New Roman"/>
          <w:sz w:val="19"/>
          <w:szCs w:val="19"/>
          <w:color w:val="010000"/>
        </w:rPr>
        <w:t xml:space="preserve">SECTION 2.22. </w:t>
      </w:r>
      <w:r>
        <w:rPr>
          <w:rFonts w:ascii="Times New Roman" w:cs="Times New Roman" w:eastAsia="Times New Roman" w:hAnsi="Times New Roman"/>
          <w:sz w:val="19"/>
          <w:szCs w:val="19"/>
          <w:u w:val="single" w:color="auto"/>
          <w:color w:val="000000"/>
        </w:rPr>
        <w:t>Defaulting Lenders</w:t>
      </w:r>
      <w:r>
        <w:rPr>
          <w:rFonts w:ascii="Times New Roman" w:cs="Times New Roman" w:eastAsia="Times New Roman" w:hAnsi="Times New Roman"/>
          <w:sz w:val="19"/>
          <w:szCs w:val="19"/>
          <w:color w:val="000000"/>
        </w:rPr>
        <w:t>. Notwithstanding any provision of this Agreement to the contrary, if any Lender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becomes a Defaulting Lender, then the following provisions shall apply for so long as such Lender is a Defaulting Lender:</w:t>
      </w:r>
    </w:p>
    <w:p>
      <w:pPr>
        <w:spacing w:after="0" w:line="15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010000"/>
        </w:rPr>
        <w:t>(a)</w:t>
      </w:r>
      <w:r>
        <w:rPr>
          <w:sz w:val="20"/>
          <w:szCs w:val="20"/>
          <w:color w:val="auto"/>
        </w:rPr>
        <w:tab/>
      </w:r>
      <w:r>
        <w:rPr>
          <w:rFonts w:ascii="Times New Roman" w:cs="Times New Roman" w:eastAsia="Times New Roman" w:hAnsi="Times New Roman"/>
          <w:sz w:val="19"/>
          <w:szCs w:val="19"/>
          <w:color w:val="auto"/>
        </w:rPr>
        <w:t>fees shall cease to accrue on the unfunded portion of the Commitment of such Defaulting Lender pursuant to</w:t>
      </w:r>
    </w:p>
    <w:p>
      <w:pPr>
        <w:spacing w:after="0"/>
        <w:rPr>
          <w:sz w:val="20"/>
          <w:szCs w:val="20"/>
          <w:color w:val="auto"/>
        </w:rPr>
      </w:pPr>
      <w:r>
        <w:rPr>
          <w:rFonts w:ascii="Times New Roman" w:cs="Times New Roman" w:eastAsia="Times New Roman" w:hAnsi="Times New Roman"/>
          <w:sz w:val="19"/>
          <w:szCs w:val="19"/>
          <w:color w:val="auto"/>
        </w:rPr>
        <w:t>Section 2.12(a);</w:t>
      </w:r>
    </w:p>
    <w:p>
      <w:pPr>
        <w:spacing w:after="0" w:line="148" w:lineRule="exact"/>
        <w:rPr>
          <w:sz w:val="20"/>
          <w:szCs w:val="20"/>
          <w:color w:val="auto"/>
        </w:rPr>
      </w:pPr>
    </w:p>
    <w:p>
      <w:pPr>
        <w:jc w:val="both"/>
        <w:ind w:firstLine="1241"/>
        <w:spacing w:after="0" w:line="212" w:lineRule="auto"/>
        <w:tabs>
          <w:tab w:leader="none" w:pos="1844"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Issuing Bank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cash collateralize LC Exposure with respect to such Defaulting Lender in accordance with this Section 2.22;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2.22;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the Lenders or the Issuing Banks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so long as no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lxvii</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under any other Loan Document;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Disbursements in respect of which such Defaulting Lender has not</w:t>
      </w:r>
    </w:p>
    <w:p>
      <w:pPr>
        <w:spacing w:after="0" w:line="213" w:lineRule="auto"/>
        <w:rPr>
          <w:sz w:val="20"/>
          <w:szCs w:val="20"/>
          <w:color w:val="auto"/>
        </w:rPr>
      </w:pPr>
      <w:r>
        <w:rPr>
          <w:rFonts w:ascii="Times New Roman" w:cs="Times New Roman" w:eastAsia="Times New Roman" w:hAnsi="Times New Roman"/>
          <w:sz w:val="19"/>
          <w:szCs w:val="19"/>
          <w:color w:val="auto"/>
        </w:rPr>
        <w:t>fully funded its appropriate share, and (y) such Loans were made or the related Letters of Credit were issued at a time when the conditions set forth</w:t>
      </w:r>
    </w:p>
    <w:p>
      <w:pPr>
        <w:spacing w:after="0" w:line="216" w:lineRule="auto"/>
        <w:rPr>
          <w:sz w:val="20"/>
          <w:szCs w:val="20"/>
          <w:color w:val="auto"/>
        </w:rPr>
      </w:pPr>
      <w:r>
        <w:rPr>
          <w:rFonts w:ascii="Times New Roman" w:cs="Times New Roman" w:eastAsia="Times New Roman" w:hAnsi="Times New Roman"/>
          <w:sz w:val="18"/>
          <w:szCs w:val="18"/>
          <w:color w:val="auto"/>
        </w:rPr>
        <w:t>in Section 4.02 were satisfied or waived, such payment shall be applied solely to pay the Loans of, and LC Disbursements owed to, all non-Defaulting Lenders on a pro rata basis prior to being applied to the payment of any Loans of, or LC Disbursements owed to, such Defaulting Lender</w:t>
      </w:r>
    </w:p>
    <w:p>
      <w:pPr>
        <w:spacing w:after="0" w:line="213" w:lineRule="auto"/>
        <w:rPr>
          <w:sz w:val="20"/>
          <w:szCs w:val="20"/>
          <w:color w:val="auto"/>
        </w:rPr>
      </w:pPr>
      <w:r>
        <w:rPr>
          <w:rFonts w:ascii="Times New Roman" w:cs="Times New Roman" w:eastAsia="Times New Roman" w:hAnsi="Times New Roman"/>
          <w:sz w:val="19"/>
          <w:szCs w:val="19"/>
          <w:color w:val="auto"/>
        </w:rPr>
        <w:t>until such time as all Loans and funded and unfunded participations in the Borrower’s obligations corresponding to such Defaulting Lender’s LC</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Exposure are held by the Lenders pro rata in accordance with the Commitments without giving effect to clause (d) below. Any payments, prepayments or other amounts paid or payable to a Defaulting Lender that are applied (or held) to pay amounts owed by a Defaulting Lender or to</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post cash collateral pursuant to this Section 2.22 shall be deemed paid to and redirected by such Defaulting Lender, and each Lender irrevocably consents hereto.</w:t>
      </w:r>
    </w:p>
    <w:p>
      <w:pPr>
        <w:spacing w:after="0" w:line="156" w:lineRule="exact"/>
        <w:rPr>
          <w:sz w:val="20"/>
          <w:szCs w:val="20"/>
          <w:color w:val="auto"/>
        </w:rPr>
      </w:pPr>
    </w:p>
    <w:p>
      <w:pPr>
        <w:jc w:val="both"/>
        <w:ind w:firstLine="1241"/>
        <w:spacing w:after="0" w:line="222" w:lineRule="auto"/>
        <w:tabs>
          <w:tab w:leader="none" w:pos="1847"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Commitments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58"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LC Exposure exists at the time such Lender becomes a Defaulting Lender then:</w:t>
      </w:r>
    </w:p>
    <w:p>
      <w:pPr>
        <w:spacing w:after="0" w:line="168" w:lineRule="exact"/>
        <w:rPr>
          <w:sz w:val="20"/>
          <w:szCs w:val="20"/>
          <w:color w:val="auto"/>
        </w:rPr>
      </w:pPr>
    </w:p>
    <w:p>
      <w:pPr>
        <w:jc w:val="both"/>
        <w:ind w:left="620" w:firstLine="621"/>
        <w:spacing w:after="0" w:line="215" w:lineRule="auto"/>
        <w:tabs>
          <w:tab w:leader="none" w:pos="1855" w:val="left"/>
        </w:tabs>
        <w:numPr>
          <w:ilvl w:val="1"/>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or any part of the LC Exposure of such Defaulting Lender shall be reallocated among the non-Defaulting Lenders in accordance with their respective Applicable Percentages but only to the extent that (x) the sum of all non-Defaulting Lenders’ Revolving Credit Exposures plus such Defaulting Lender’s LC Exposure does not exceed the total of all non-Defaulting Lenders’ Commitments and</w:t>
      </w:r>
    </w:p>
    <w:p>
      <w:pPr>
        <w:ind w:left="880" w:hanging="258"/>
        <w:spacing w:after="0"/>
        <w:tabs>
          <w:tab w:leader="none" w:pos="88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has occurred and is continuing at such time;</w:t>
      </w:r>
    </w:p>
    <w:p>
      <w:pPr>
        <w:spacing w:after="0" w:line="156"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1"/>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reallocation described in clause (i) above cannot, or can only partially, be effected, the Borrower shall within two</w:t>
      </w:r>
    </w:p>
    <w:p>
      <w:pPr>
        <w:jc w:val="both"/>
        <w:ind w:left="620"/>
        <w:spacing w:after="0" w:line="219"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(2) Business Days following notice by the Administrative Agent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55" w:lineRule="exact"/>
        <w:rPr>
          <w:sz w:val="20"/>
          <w:szCs w:val="20"/>
          <w:color w:val="auto"/>
        </w:rPr>
      </w:pPr>
    </w:p>
    <w:p>
      <w:pPr>
        <w:jc w:val="both"/>
        <w:ind w:left="620" w:firstLine="621"/>
        <w:spacing w:after="0" w:line="226" w:lineRule="auto"/>
        <w:tabs>
          <w:tab w:leader="none" w:pos="1857" w:val="left"/>
        </w:tabs>
        <w:numPr>
          <w:ilvl w:val="0"/>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56"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47" w:val="left"/>
        </w:tabs>
        <w:numPr>
          <w:ilvl w:val="0"/>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56" w:lineRule="exact"/>
        <w:rPr>
          <w:rFonts w:ascii="Times New Roman" w:cs="Times New Roman" w:eastAsia="Times New Roman" w:hAnsi="Times New Roman"/>
          <w:sz w:val="19"/>
          <w:szCs w:val="19"/>
          <w:color w:val="010000"/>
        </w:rPr>
      </w:pPr>
    </w:p>
    <w:p>
      <w:pPr>
        <w:jc w:val="both"/>
        <w:ind w:left="620" w:firstLine="621"/>
        <w:spacing w:after="0" w:line="222" w:lineRule="auto"/>
        <w:tabs>
          <w:tab w:leader="none" w:pos="1846" w:val="left"/>
        </w:tabs>
        <w:numPr>
          <w:ilvl w:val="0"/>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all or any portion of such Defaulting Lender’s LC Exposure is neither reallocated nor cash collateralized pursuant to 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lxviii</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23" w:lineRule="exact"/>
        <w:rPr>
          <w:sz w:val="20"/>
          <w:szCs w:val="20"/>
          <w:color w:val="auto"/>
        </w:rPr>
      </w:pPr>
    </w:p>
    <w:p>
      <w:pPr>
        <w:jc w:val="both"/>
        <w:ind w:firstLine="1241"/>
        <w:spacing w:after="0" w:line="220" w:lineRule="auto"/>
        <w:tabs>
          <w:tab w:leader="none" w:pos="1847" w:val="left"/>
        </w:tabs>
        <w:numPr>
          <w:ilvl w:val="0"/>
          <w:numId w:val="1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so long as such Lender is a Defaulting Lender, the relevant Issuing Bank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2.22(d), and participating interests in any newly issued or increased Letter of Credit shall be allocated among non-Defaulting Lenders in a manner consistent with Section 2.22(d)(i) (and such Defaulting Lender shall not participate therein).</w:t>
      </w:r>
    </w:p>
    <w:p>
      <w:pPr>
        <w:spacing w:after="0" w:line="172"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If (i) a Bankruptcy Event or Bail-In Action with respect to a Parent of any Lender shall occur following the date hereof and for so long as such event shall continue or (ii) any Issuing Bank has actual knowledge that any Lender has defaulted in fulfilling its obligations under one or more other agreements in which such Lender commits to extend credit, no Issuing Bank shall be required to issue, amend or increase any Letter of Credit, unless the relevant Issuing Bank shall have entered into arrangements with the Borrower or such Lender, satisfactory to such Issuing Bank to defease any risk to it in respect of such Lender hereunder.</w:t>
      </w:r>
    </w:p>
    <w:p>
      <w:pPr>
        <w:spacing w:after="0" w:line="185"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8"/>
          <w:szCs w:val="18"/>
          <w:color w:val="auto"/>
        </w:rPr>
        <w:t>In the event that the Administrative Agent, the Borrower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50"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19"/>
          <w:szCs w:val="19"/>
          <w:color w:val="010000"/>
        </w:rPr>
        <w:t xml:space="preserve">SECTION 2.23. </w:t>
      </w:r>
      <w:r>
        <w:rPr>
          <w:rFonts w:ascii="Times New Roman" w:cs="Times New Roman" w:eastAsia="Times New Roman" w:hAnsi="Times New Roman"/>
          <w:sz w:val="19"/>
          <w:szCs w:val="19"/>
          <w:u w:val="single" w:color="auto"/>
          <w:color w:val="000000"/>
        </w:rPr>
        <w:t>Extension Option</w:t>
      </w:r>
      <w:r>
        <w:rPr>
          <w:rFonts w:ascii="Times New Roman" w:cs="Times New Roman" w:eastAsia="Times New Roman" w:hAnsi="Times New Roman"/>
          <w:sz w:val="20"/>
          <w:szCs w:val="20"/>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 The Borrower may, by delivering an Extension Request to the Administrative Agent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(who shall promptly deliver a copy to each of the Lenders), not less than 30 days in advance of the Maturity Date in effect at such time (the</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Maturity Date</w:t>
      </w:r>
      <w:r>
        <w:rPr>
          <w:rFonts w:ascii="Times New Roman" w:cs="Times New Roman" w:eastAsia="Times New Roman" w:hAnsi="Times New Roman"/>
          <w:sz w:val="19"/>
          <w:szCs w:val="19"/>
          <w:color w:val="auto"/>
        </w:rPr>
        <w:t>”), request that the Lenders extend the Existing Maturity Date to the first anniversary of such Existing Maturity Date. Each Lender, acting in its sole discretion, shall, by written notice to the Administrative Agent given not later than the date that is the 15th day after the</w:t>
      </w:r>
    </w:p>
    <w:p>
      <w:pPr>
        <w:spacing w:after="0" w:line="213" w:lineRule="auto"/>
        <w:rPr>
          <w:sz w:val="20"/>
          <w:szCs w:val="20"/>
          <w:color w:val="auto"/>
        </w:rPr>
      </w:pPr>
      <w:r>
        <w:rPr>
          <w:rFonts w:ascii="Times New Roman" w:cs="Times New Roman" w:eastAsia="Times New Roman" w:hAnsi="Times New Roman"/>
          <w:sz w:val="19"/>
          <w:szCs w:val="19"/>
          <w:color w:val="auto"/>
        </w:rPr>
        <w:t>date of the Extension Request, or if such date is not a Business Day, the immediately following Business Day (the “</w:t>
      </w:r>
      <w:r>
        <w:rPr>
          <w:rFonts w:ascii="Times New Roman" w:cs="Times New Roman" w:eastAsia="Times New Roman" w:hAnsi="Times New Roman"/>
          <w:sz w:val="19"/>
          <w:szCs w:val="19"/>
          <w:u w:val="single" w:color="auto"/>
          <w:color w:val="auto"/>
        </w:rPr>
        <w:t>Response Date</w:t>
      </w:r>
      <w:r>
        <w:rPr>
          <w:rFonts w:ascii="Times New Roman" w:cs="Times New Roman" w:eastAsia="Times New Roman" w:hAnsi="Times New Roman"/>
          <w:sz w:val="19"/>
          <w:szCs w:val="19"/>
          <w:color w:val="auto"/>
        </w:rPr>
        <w:t>”), advise the</w:t>
      </w:r>
    </w:p>
    <w:p>
      <w:pPr>
        <w:jc w:val="both"/>
        <w:spacing w:after="0" w:line="205" w:lineRule="auto"/>
        <w:rPr>
          <w:sz w:val="20"/>
          <w:szCs w:val="20"/>
          <w:color w:val="auto"/>
        </w:rPr>
      </w:pPr>
      <w:r>
        <w:rPr>
          <w:rFonts w:ascii="Times New Roman" w:cs="Times New Roman" w:eastAsia="Times New Roman" w:hAnsi="Times New Roman"/>
          <w:sz w:val="19"/>
          <w:szCs w:val="19"/>
          <w:color w:val="auto"/>
        </w:rPr>
        <w:t>Administrative Agent in writing whether or not such Lender agrees to the requested extension. Each Lender that advises the Administrative Agent that it will not extend the Existing Maturity Date is referred to herein as a “</w:t>
      </w:r>
      <w:r>
        <w:rPr>
          <w:rFonts w:ascii="Times New Roman" w:cs="Times New Roman" w:eastAsia="Times New Roman" w:hAnsi="Times New Roman"/>
          <w:sz w:val="19"/>
          <w:szCs w:val="19"/>
          <w:u w:val="single" w:color="auto"/>
          <w:color w:val="auto"/>
        </w:rPr>
        <w:t>Non-Extending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Lender that does not advise</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the Administrative Agent of its consent to such requested extension by the Response Date and any Lender that is a Defaulting Lender on the Response Date shall be deemed to be a Non-Extending Lender. The Administrative Agent shall notify the Borrower, in writing, of the Lenders’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elections promptly following the Response Date. The election of any Lender to agree to such an extension shall not obligate any other Lender to so agree. The Maturity Date may be extended no more than two times pursuant to this Section 2.23.</w:t>
      </w:r>
    </w:p>
    <w:p>
      <w:pPr>
        <w:spacing w:after="0" w:line="182" w:lineRule="exact"/>
        <w:rPr>
          <w:sz w:val="20"/>
          <w:szCs w:val="20"/>
          <w:color w:val="auto"/>
        </w:rPr>
      </w:pPr>
    </w:p>
    <w:p>
      <w:pPr>
        <w:jc w:val="both"/>
        <w:ind w:firstLine="622"/>
        <w:spacing w:after="0" w:line="269" w:lineRule="auto"/>
        <w:tabs>
          <w:tab w:leader="none" w:pos="89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by the Response Date, Lenders holding Commitments that represent 50% or more of the total Commitments shall constitute Non-Extending Lenders, then the Existing Maturity Date shall not be extended and the outstanding principal balance of all Loans and other amounts payable hereunder shall be payable, and the Commitments shall terminate, on the Existing Maturity Date in effect prior to such extension.</w:t>
      </w:r>
    </w:p>
    <w:p>
      <w:pPr>
        <w:spacing w:after="0" w:line="181" w:lineRule="exact"/>
        <w:rPr>
          <w:sz w:val="20"/>
          <w:szCs w:val="20"/>
          <w:color w:val="auto"/>
        </w:rPr>
      </w:pPr>
    </w:p>
    <w:p>
      <w:pPr>
        <w:jc w:val="both"/>
        <w:ind w:firstLine="622"/>
        <w:spacing w:after="0" w:line="258" w:lineRule="auto"/>
        <w:tabs>
          <w:tab w:leader="none" w:pos="90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by the Response Date, Lenders holding Commitments that represent more than 50% of the total Commitments shall have agreed to extend the Existing Maturity Date (each such consenting Lender, an “</w:t>
      </w:r>
      <w:r>
        <w:rPr>
          <w:rFonts w:ascii="Times New Roman" w:cs="Times New Roman" w:eastAsia="Times New Roman" w:hAnsi="Times New Roman"/>
          <w:sz w:val="19"/>
          <w:szCs w:val="19"/>
          <w:u w:val="single" w:color="auto"/>
          <w:color w:val="auto"/>
        </w:rPr>
        <w:t>Extending Lender</w:t>
      </w:r>
      <w:r>
        <w:rPr>
          <w:rFonts w:ascii="Times New Roman" w:cs="Times New Roman" w:eastAsia="Times New Roman" w:hAnsi="Times New Roman"/>
          <w:sz w:val="19"/>
          <w:szCs w:val="19"/>
          <w:color w:val="auto"/>
        </w:rPr>
        <w:t>”), then, effective as of the applicable date of effectiveness of such maturity extension, the Maturity Date for such Extending Lenders shall be extended to the first anniversary of the Existing Maturity Date (subject to satisfaction of the conditions set forth in Section 2.23(d)). In the event of such extension, the Commitment of each Non-Extending Lender shall terminate on the Existing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lxix</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Maturity Date in effect for such Non-Extending Lender prior to such extension and the outstanding principal balance of all Loans and other amounts payable hereunder to such Non-Extending Lender shall become due and payable on such Existing Maturity Date and, subject to Section 2.23(c) below, the total Commitments hereunder shall be reduced by the Commitments of the Non-Extending Lenders so terminated on such Existing Maturity Date.</w:t>
      </w:r>
    </w:p>
    <w:p>
      <w:pPr>
        <w:spacing w:after="0" w:line="204" w:lineRule="exact"/>
        <w:rPr>
          <w:sz w:val="20"/>
          <w:szCs w:val="20"/>
          <w:color w:val="auto"/>
        </w:rPr>
      </w:pPr>
    </w:p>
    <w:p>
      <w:pPr>
        <w:jc w:val="both"/>
        <w:ind w:firstLine="622"/>
        <w:spacing w:after="0" w:line="251" w:lineRule="auto"/>
        <w:tabs>
          <w:tab w:leader="none" w:pos="87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extension of the Existing Maturity Date pursuant to Section 2.23(b)(ii), the Borrower shall have the right on or before the Existing Maturity Date, at its own expense, to require any Non-Extending Lender to transfer and assign without recourse (in accordance with and subject to the restrictions contained in Section 9.04) all its interests, rights (other than its rights to payments pursuant to Section 2.15, Section 2.16, Section 2.17 or Section 9.03 arising prior to the effectiveness of such assignment) and obligations under this Agreement to one or more banks or other financial institutions identified to the Non-Extending Lender by the Borrower, which may include any existing Lender (each a “</w:t>
      </w:r>
      <w:r>
        <w:rPr>
          <w:rFonts w:ascii="Times New Roman" w:cs="Times New Roman" w:eastAsia="Times New Roman" w:hAnsi="Times New Roman"/>
          <w:sz w:val="19"/>
          <w:szCs w:val="19"/>
          <w:u w:val="single" w:color="auto"/>
          <w:color w:val="auto"/>
        </w:rPr>
        <w:t>Replacement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Lender, if not already a Lender hereunder, shall be subject to the approval of the Administrative Agent and each Issuing Bank (such approvals to not be unreasonably withheld) to the extent the consent of the Administrative Agent or the Issuing Banks would be required to effect an assignment under Section 9.04(b), (ii) such assignment shall become effective as of a date specified by the Borrower (which shall not be later than the Existing Maturity Date in effect for such Non-Extending Lender prior to the effective date of the requested extension) and (iii) the Replacement Lender shall pay to such Non-Extending Lender in immediately available funds on the effective date of such assignment the principal of and interest accrued to the date of payment on the outstanding principal amount Loans made by it hereunder and all other amounts accrued and unpaid for its account or otherwise owed to it hereunder on such date.</w:t>
      </w:r>
    </w:p>
    <w:p>
      <w:pPr>
        <w:spacing w:after="0" w:line="210" w:lineRule="exact"/>
        <w:rPr>
          <w:rFonts w:ascii="Times New Roman" w:cs="Times New Roman" w:eastAsia="Times New Roman" w:hAnsi="Times New Roman"/>
          <w:sz w:val="19"/>
          <w:szCs w:val="19"/>
          <w:color w:val="auto"/>
        </w:rPr>
      </w:pPr>
    </w:p>
    <w:p>
      <w:pPr>
        <w:jc w:val="both"/>
        <w:ind w:firstLine="622"/>
        <w:spacing w:after="0" w:line="250" w:lineRule="auto"/>
        <w:tabs>
          <w:tab w:leader="none" w:pos="91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precedent to each such extension of the Existing Maturity Date pursuant to Section 2.23(b)(ii), (x) both before and immediately after giving effect to such extension, (A) the representations and warranties of the Borrower set forth in this Agreement shall be true and correct in all material respects (except that any such representation or warranty that is qualified as to “materiality” or “Material Adverse Effect” shall be true and correct in all respects) and (B) no Default shall have occurred and be continuing and (y) the Borrower shall (i) deliver to the Administrative Agent a certificate of the Borrower dated as of the Existing Maturity Date signed by a Financial Officer of the Borrower certifying that, as of such date, the conditions set forth in clause (x) above are satisfied, (ii) deliver to the Administrative Agent (1) documentation entered into by the Borrower, the Administrative Agent and each Extending Lender and Replacement Lender providing for such amendments to this Agreement as the Administrative Agent determines to be reasonably necessary to evidence such extension and (2) such other approvals, opinions or documents as any Lender participating in such extension may reasonably request through the Administrative Agent and (iii) first make such prepayments of the outstanding Loans and second provide such cash collateral (or make such other arrangements satisfactory to the applicable Issuing Bank) with respect to the outstanding Letters of Credit as shall be required such that, after giving effect to the termination of the Commitments of the Non-Extending Lenders pursuant to Section 2.23(b) and any assignment pursuant to Section 2.23(c), the aggregate Revolving Credit Exposure less the face amount of any Letter of Credit supported by any such cash collateral (or other satisfactory arrangements) so provided does not exceed the aggregate amount of Commitments being extended.</w:t>
      </w:r>
    </w:p>
    <w:p>
      <w:pPr>
        <w:spacing w:after="0" w:line="217" w:lineRule="exact"/>
        <w:rPr>
          <w:rFonts w:ascii="Times New Roman" w:cs="Times New Roman" w:eastAsia="Times New Roman" w:hAnsi="Times New Roman"/>
          <w:sz w:val="19"/>
          <w:szCs w:val="19"/>
          <w:color w:val="auto"/>
        </w:rPr>
      </w:pPr>
    </w:p>
    <w:p>
      <w:pPr>
        <w:jc w:val="both"/>
        <w:ind w:firstLine="622"/>
        <w:spacing w:after="0" w:line="262" w:lineRule="auto"/>
        <w:tabs>
          <w:tab w:leader="none" w:pos="88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(i) no consent of any Lender (other than the existing Lenders participating in the extension of the Existing Maturity Date) shall be required for any extension of the Maturity Date pursuant to this Section 2.23 and (ii) the operation of this Section 2.23 in accordance with its terms is not an amendment subject to Section 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5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010000"/>
        </w:rPr>
        <w:t>Article III</w:t>
      </w: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u w:val="single" w:color="auto"/>
          <w:color w:val="auto"/>
        </w:rPr>
        <w:t>Representations and Warranties</w:t>
      </w:r>
    </w:p>
    <w:p>
      <w:pPr>
        <w:spacing w:after="0" w:line="1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The Borrower represents and warrants to the Lenders, in each case after giving effect to the Transactions, that:</w:t>
      </w:r>
    </w:p>
    <w:p>
      <w:pPr>
        <w:spacing w:after="0" w:line="202"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3.01.</w:t>
      </w:r>
      <w:r>
        <w:rPr>
          <w:sz w:val="20"/>
          <w:szCs w:val="20"/>
          <w:color w:val="auto"/>
        </w:rPr>
        <w:tab/>
      </w:r>
      <w:r>
        <w:rPr>
          <w:rFonts w:ascii="Times New Roman" w:cs="Times New Roman" w:eastAsia="Times New Roman" w:hAnsi="Times New Roman"/>
          <w:sz w:val="19"/>
          <w:szCs w:val="19"/>
          <w:u w:val="single" w:color="auto"/>
          <w:color w:val="auto"/>
        </w:rPr>
        <w:t>Organization; Powers; Subsidiaries</w:t>
      </w:r>
      <w:r>
        <w:rPr>
          <w:rFonts w:ascii="Times New Roman" w:cs="Times New Roman" w:eastAsia="Times New Roman" w:hAnsi="Times New Roman"/>
          <w:sz w:val="19"/>
          <w:szCs w:val="19"/>
          <w:color w:val="auto"/>
        </w:rPr>
        <w:t>. The Borrower is duly organized, validly existing and in good standing</w:t>
      </w:r>
    </w:p>
    <w:p>
      <w:pPr>
        <w:spacing w:after="0" w:line="216" w:lineRule="auto"/>
        <w:rPr>
          <w:sz w:val="20"/>
          <w:szCs w:val="20"/>
          <w:color w:val="auto"/>
        </w:rPr>
      </w:pPr>
      <w:r>
        <w:rPr>
          <w:rFonts w:ascii="Times New Roman" w:cs="Times New Roman" w:eastAsia="Times New Roman" w:hAnsi="Times New Roman"/>
          <w:sz w:val="18"/>
          <w:szCs w:val="18"/>
          <w:color w:val="auto"/>
        </w:rPr>
        <w:t>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business in, and is in good standing in, every jurisdiction where such qualification is required. As of the Effective Date, </w:t>
      </w:r>
      <w:r>
        <w:rPr>
          <w:rFonts w:ascii="Times New Roman" w:cs="Times New Roman" w:eastAsia="Times New Roman" w:hAnsi="Times New Roman"/>
          <w:sz w:val="19"/>
          <w:szCs w:val="19"/>
          <w:u w:val="single" w:color="auto"/>
          <w:color w:val="auto"/>
        </w:rPr>
        <w:t>Schedule 3.01</w:t>
      </w:r>
      <w:r>
        <w:rPr>
          <w:rFonts w:ascii="Times New Roman" w:cs="Times New Roman" w:eastAsia="Times New Roman" w:hAnsi="Times New Roman"/>
          <w:sz w:val="19"/>
          <w:szCs w:val="19"/>
          <w:color w:val="auto"/>
        </w:rPr>
        <w:t xml:space="preserve"> to the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Disclosure Letter identifies each Subsidiary, noting whether such Subsidiary is a Material Domestic Subsidiary, the jurisdiction of its incorporation or organization, as the case may be, the percentage of issued and outstanding shares of each class of its capital stock or other equity interests owned</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by the Borrower and the other Subsidiaries and, if such percentage is not 100% (excluding directors’ qualifying shares as required by law or shares held by nominees on behalf of the Borrower or any Subsidiary as required by law), a description of each class issued and outstanding. As of the</w:t>
      </w:r>
    </w:p>
    <w:p>
      <w:pPr>
        <w:spacing w:after="0" w:line="213" w:lineRule="auto"/>
        <w:rPr>
          <w:sz w:val="20"/>
          <w:szCs w:val="20"/>
          <w:color w:val="auto"/>
        </w:rPr>
      </w:pPr>
      <w:r>
        <w:rPr>
          <w:rFonts w:ascii="Times New Roman" w:cs="Times New Roman" w:eastAsia="Times New Roman" w:hAnsi="Times New Roman"/>
          <w:sz w:val="19"/>
          <w:szCs w:val="19"/>
          <w:color w:val="auto"/>
        </w:rPr>
        <w:t>Effective Date, all of the outstanding shares of capital stock and other equity interests of each Material Domestic Subsidiary are validly issued and</w:t>
      </w:r>
    </w:p>
    <w:p>
      <w:pPr>
        <w:spacing w:after="0" w:line="205" w:lineRule="auto"/>
        <w:rPr>
          <w:sz w:val="20"/>
          <w:szCs w:val="20"/>
          <w:color w:val="auto"/>
        </w:rPr>
      </w:pPr>
      <w:r>
        <w:rPr>
          <w:rFonts w:ascii="Times New Roman" w:cs="Times New Roman" w:eastAsia="Times New Roman" w:hAnsi="Times New Roman"/>
          <w:sz w:val="19"/>
          <w:szCs w:val="19"/>
          <w:color w:val="auto"/>
        </w:rPr>
        <w:t xml:space="preserve">outstanding and fully paid and nonassessable (to the extent such concepts exists and/or is applicable) and all such shares and other equity interests indicated on </w:t>
      </w:r>
      <w:r>
        <w:rPr>
          <w:rFonts w:ascii="Times New Roman" w:cs="Times New Roman" w:eastAsia="Times New Roman" w:hAnsi="Times New Roman"/>
          <w:sz w:val="19"/>
          <w:szCs w:val="19"/>
          <w:u w:val="single" w:color="auto"/>
          <w:color w:val="auto"/>
        </w:rPr>
        <w:t>Schedule 3.01</w:t>
      </w:r>
      <w:r>
        <w:rPr>
          <w:rFonts w:ascii="Times New Roman" w:cs="Times New Roman" w:eastAsia="Times New Roman" w:hAnsi="Times New Roman"/>
          <w:sz w:val="19"/>
          <w:szCs w:val="19"/>
          <w:color w:val="auto"/>
        </w:rPr>
        <w:t xml:space="preserve"> to the Disclosure Letter as owned by the Borrower or another Subsidiary are owned, beneficially and of record, by the</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Borrower or any Subsidiary free and clear of all Liens (other than Permitted Encumbrances). Except as set forth in </w:t>
      </w:r>
      <w:r>
        <w:rPr>
          <w:rFonts w:ascii="Times New Roman" w:cs="Times New Roman" w:eastAsia="Times New Roman" w:hAnsi="Times New Roman"/>
          <w:sz w:val="19"/>
          <w:szCs w:val="19"/>
          <w:u w:val="single" w:color="auto"/>
          <w:color w:val="auto"/>
        </w:rPr>
        <w:t>Schedule 3.01</w:t>
      </w:r>
      <w:r>
        <w:rPr>
          <w:rFonts w:ascii="Times New Roman" w:cs="Times New Roman" w:eastAsia="Times New Roman" w:hAnsi="Times New Roman"/>
          <w:sz w:val="19"/>
          <w:szCs w:val="19"/>
          <w:color w:val="auto"/>
        </w:rPr>
        <w:t xml:space="preserve"> to the Disclosure</w:t>
      </w:r>
    </w:p>
    <w:p>
      <w:pPr>
        <w:spacing w:after="0" w:line="216" w:lineRule="auto"/>
        <w:rPr>
          <w:sz w:val="20"/>
          <w:szCs w:val="20"/>
          <w:color w:val="auto"/>
        </w:rPr>
      </w:pPr>
      <w:r>
        <w:rPr>
          <w:rFonts w:ascii="Times New Roman" w:cs="Times New Roman" w:eastAsia="Times New Roman" w:hAnsi="Times New Roman"/>
          <w:sz w:val="18"/>
          <w:szCs w:val="18"/>
          <w:color w:val="auto"/>
        </w:rPr>
        <w:t>Letter, as of the Effective Date there are no outstanding commitments or other obligations of the Material Domestic Subsidiaries to issue, and no options, warrants or other rights of any Person to acquire, any shares of any class of capital stock or other equity interests of such Material Domestic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Subsidiary.</w:t>
      </w:r>
    </w:p>
    <w:p>
      <w:pPr>
        <w:spacing w:after="0" w:line="16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3.02. </w:t>
      </w:r>
      <w:r>
        <w:rPr>
          <w:rFonts w:ascii="Times New Roman" w:cs="Times New Roman" w:eastAsia="Times New Roman" w:hAnsi="Times New Roman"/>
          <w:sz w:val="19"/>
          <w:szCs w:val="19"/>
          <w:u w:val="single" w:color="auto"/>
          <w:color w:val="000000"/>
        </w:rPr>
        <w:t>Authorization; Enforceability</w:t>
      </w:r>
      <w:r>
        <w:rPr>
          <w:rFonts w:ascii="Times New Roman" w:cs="Times New Roman" w:eastAsia="Times New Roman" w:hAnsi="Times New Roman"/>
          <w:sz w:val="19"/>
          <w:szCs w:val="19"/>
          <w:color w:val="000000"/>
        </w:rPr>
        <w:t>. The Transactions are within the Borrower’s organizational powers and have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been duly authorized by all necessary organizational actions and, if required, actions by equity holders. The Loan Documents to which the Borrower</w:t>
      </w:r>
    </w:p>
    <w:p>
      <w:pPr>
        <w:spacing w:after="0" w:line="213" w:lineRule="auto"/>
        <w:rPr>
          <w:sz w:val="20"/>
          <w:szCs w:val="20"/>
          <w:color w:val="auto"/>
        </w:rPr>
      </w:pPr>
      <w:r>
        <w:rPr>
          <w:rFonts w:ascii="Times New Roman" w:cs="Times New Roman" w:eastAsia="Times New Roman" w:hAnsi="Times New Roman"/>
          <w:sz w:val="19"/>
          <w:szCs w:val="19"/>
          <w:color w:val="auto"/>
        </w:rPr>
        <w:t>is a party have been duly executed and delivered by the Borrower and constitute a legal, valid and binding obligation of the Borrower, enforceable</w:t>
      </w:r>
    </w:p>
    <w:p>
      <w:pPr>
        <w:spacing w:after="0" w:line="222" w:lineRule="auto"/>
        <w:rPr>
          <w:sz w:val="20"/>
          <w:szCs w:val="20"/>
          <w:color w:val="auto"/>
        </w:rPr>
      </w:pPr>
      <w:r>
        <w:rPr>
          <w:rFonts w:ascii="Times New Roman" w:cs="Times New Roman" w:eastAsia="Times New Roman" w:hAnsi="Times New Roman"/>
          <w:sz w:val="19"/>
          <w:szCs w:val="19"/>
          <w:color w:val="auto"/>
        </w:rPr>
        <w:t>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1" w:lineRule="exact"/>
        <w:rPr>
          <w:sz w:val="20"/>
          <w:szCs w:val="20"/>
          <w:color w:val="auto"/>
        </w:rPr>
      </w:pPr>
    </w:p>
    <w:p>
      <w:pPr>
        <w:jc w:val="right"/>
        <w:spacing w:after="0"/>
        <w:tabs>
          <w:tab w:leader="none" w:pos="8140" w:val="left"/>
        </w:tabs>
        <w:rPr>
          <w:sz w:val="20"/>
          <w:szCs w:val="20"/>
          <w:color w:val="auto"/>
        </w:rPr>
      </w:pPr>
      <w:r>
        <w:rPr>
          <w:rFonts w:ascii="Times New Roman" w:cs="Times New Roman" w:eastAsia="Times New Roman" w:hAnsi="Times New Roman"/>
          <w:sz w:val="19"/>
          <w:szCs w:val="19"/>
          <w:color w:val="010000"/>
        </w:rPr>
        <w:t>SECTION 3.03.</w:t>
      </w:r>
      <w:r>
        <w:rPr>
          <w:sz w:val="20"/>
          <w:szCs w:val="20"/>
          <w:color w:val="auto"/>
        </w:rPr>
        <w:tab/>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Except to the extent reasonably expected to result in a Material</w:t>
      </w:r>
    </w:p>
    <w:p>
      <w:pPr>
        <w:spacing w:after="0" w:line="205" w:lineRule="auto"/>
        <w:rPr>
          <w:sz w:val="20"/>
          <w:szCs w:val="20"/>
          <w:color w:val="auto"/>
        </w:rPr>
      </w:pPr>
      <w:r>
        <w:rPr>
          <w:rFonts w:ascii="Times New Roman" w:cs="Times New Roman" w:eastAsia="Times New Roman" w:hAnsi="Times New Roman"/>
          <w:sz w:val="19"/>
          <w:szCs w:val="19"/>
          <w:color w:val="auto"/>
        </w:rPr>
        <w:t>Adverse Effect (other than with respect to violation of the charter, by-laws or organizational documents of the Borrower), the Transactions (a) do not require any consent or approval of, registration or filing with, or any other action by, any Governmental Authority, except such as have been</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obtained or made and are in full force and effect or as set forth on </w:t>
      </w:r>
      <w:r>
        <w:rPr>
          <w:rFonts w:ascii="Times New Roman" w:cs="Times New Roman" w:eastAsia="Times New Roman" w:hAnsi="Times New Roman"/>
          <w:sz w:val="19"/>
          <w:szCs w:val="19"/>
          <w:u w:val="single" w:color="auto"/>
          <w:color w:val="auto"/>
        </w:rPr>
        <w:t>Schedule 3.03</w:t>
      </w:r>
      <w:r>
        <w:rPr>
          <w:rFonts w:ascii="Times New Roman" w:cs="Times New Roman" w:eastAsia="Times New Roman" w:hAnsi="Times New Roman"/>
          <w:sz w:val="19"/>
          <w:szCs w:val="19"/>
          <w:color w:val="auto"/>
        </w:rPr>
        <w:t xml:space="preserve"> to the Disclosure Letter, (b) will not violate any applicable law or</w:t>
      </w:r>
    </w:p>
    <w:p>
      <w:pPr>
        <w:spacing w:after="0" w:line="205" w:lineRule="auto"/>
        <w:rPr>
          <w:sz w:val="20"/>
          <w:szCs w:val="20"/>
          <w:color w:val="auto"/>
        </w:rPr>
      </w:pPr>
      <w:r>
        <w:rPr>
          <w:rFonts w:ascii="Times New Roman" w:cs="Times New Roman" w:eastAsia="Times New Roman" w:hAnsi="Times New Roman"/>
          <w:sz w:val="19"/>
          <w:szCs w:val="19"/>
          <w:color w:val="auto"/>
        </w:rPr>
        <w:t>regulation or the charter, by-laws or other organizational documents of the Borrower or any order of any Governmental Authority, (c) will not violate or result in a default under any indenture, material agreement or other material instrument binding upon the Borrower or its assets, or give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rise to a right thereunder to require any payment to be made by the Borrower, and (d) will not result in the creation or imposition of any Lien on any asset of the Borrower.</w:t>
      </w:r>
    </w:p>
    <w:p>
      <w:pPr>
        <w:spacing w:after="0" w:line="143"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3.04. </w:t>
      </w:r>
      <w:r>
        <w:rPr>
          <w:rFonts w:ascii="Times New Roman" w:cs="Times New Roman" w:eastAsia="Times New Roman" w:hAnsi="Times New Roman"/>
          <w:sz w:val="19"/>
          <w:szCs w:val="19"/>
          <w:u w:val="single" w:color="auto"/>
          <w:color w:val="000000"/>
        </w:rPr>
        <w:t>Financial Condition; No Material Adverse Change</w:t>
      </w:r>
      <w:r>
        <w:rPr>
          <w:rFonts w:ascii="Times New Roman" w:cs="Times New Roman" w:eastAsia="Times New Roman" w:hAnsi="Times New Roman"/>
          <w:sz w:val="19"/>
          <w:szCs w:val="19"/>
          <w:color w:val="000000"/>
        </w:rPr>
        <w:t>. (a) The Borrower has heretofore furnished to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Administrative Agent and the Lenders </w:t>
      </w:r>
      <w:r>
        <w:rPr>
          <w:rFonts w:ascii="Times New Roman" w:cs="Times New Roman" w:eastAsia="Times New Roman" w:hAnsi="Times New Roman"/>
          <w:sz w:val="19"/>
          <w:szCs w:val="19"/>
          <w:b w:val="1"/>
          <w:bCs w:val="1"/>
          <w:color w:val="FF0000"/>
          <w:strike w:val="1"/>
        </w:rPr>
        <w:t>(i)</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(i)</w:t>
      </w:r>
      <w:r>
        <w:rPr>
          <w:rFonts w:ascii="Times New Roman" w:cs="Times New Roman" w:eastAsia="Times New Roman" w:hAnsi="Times New Roman"/>
          <w:sz w:val="19"/>
          <w:szCs w:val="19"/>
          <w:color w:val="000000"/>
        </w:rPr>
        <w:t xml:space="preserve"> the audited consolidated financial statements of the Borrower</w:t>
      </w:r>
      <w:r>
        <w:rPr>
          <w:rFonts w:ascii="Times New Roman" w:cs="Times New Roman" w:eastAsia="Times New Roman" w:hAnsi="Times New Roman"/>
          <w:sz w:val="19"/>
          <w:szCs w:val="19"/>
          <w:b w:val="1"/>
          <w:bCs w:val="1"/>
          <w:color w:val="FF0000"/>
          <w:strike w:val="1"/>
        </w:rPr>
        <w:t>, Zynga, and their respective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and its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Subsidiaries consisting of balance sheets as of and for March 31, </w:t>
      </w:r>
      <w:r>
        <w:rPr>
          <w:rFonts w:ascii="Times New Roman" w:cs="Times New Roman" w:eastAsia="Times New Roman" w:hAnsi="Times New Roman"/>
          <w:sz w:val="19"/>
          <w:szCs w:val="19"/>
          <w:b w:val="1"/>
          <w:bCs w:val="1"/>
          <w:color w:val="FF0000"/>
          <w:strike w:val="1"/>
        </w:rPr>
        <w:t>2022</w:t>
      </w:r>
      <w:r>
        <w:rPr>
          <w:rFonts w:ascii="Times New Roman" w:cs="Times New Roman" w:eastAsia="Times New Roman" w:hAnsi="Times New Roman"/>
          <w:sz w:val="19"/>
          <w:szCs w:val="19"/>
          <w:b w:val="1"/>
          <w:bCs w:val="1"/>
          <w:u w:val="single" w:color="auto"/>
          <w:color w:val="0000FF"/>
        </w:rPr>
        <w:t>2024</w:t>
      </w:r>
      <w:r>
        <w:rPr>
          <w:rFonts w:ascii="Times New Roman" w:cs="Times New Roman" w:eastAsia="Times New Roman" w:hAnsi="Times New Roman"/>
          <w:sz w:val="19"/>
          <w:szCs w:val="19"/>
          <w:color w:val="auto"/>
        </w:rPr>
        <w:t xml:space="preserve"> and March 31, </w:t>
      </w:r>
      <w:r>
        <w:rPr>
          <w:rFonts w:ascii="Times New Roman" w:cs="Times New Roman" w:eastAsia="Times New Roman" w:hAnsi="Times New Roman"/>
          <w:sz w:val="19"/>
          <w:szCs w:val="19"/>
          <w:b w:val="1"/>
          <w:bCs w:val="1"/>
          <w:color w:val="FF0000"/>
          <w:strike w:val="1"/>
        </w:rPr>
        <w:t>2021 (in the case of the Borrower) and December 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2021 and December 31, 2020 (in the case of Zynga) and</w:t>
      </w:r>
      <w:r>
        <w:rPr>
          <w:rFonts w:ascii="Times New Roman" w:cs="Times New Roman" w:eastAsia="Times New Roman" w:hAnsi="Times New Roman"/>
          <w:sz w:val="19"/>
          <w:szCs w:val="19"/>
          <w:b w:val="1"/>
          <w:bCs w:val="1"/>
          <w:u w:val="single" w:color="auto"/>
          <w:color w:val="0000FF"/>
        </w:rPr>
        <w:t>2023 and</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the related statements of income and cash flows for such fiscal years, in each</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case, prepared in accordance with GAAP (collectively, the “</w:t>
      </w:r>
      <w:r>
        <w:rPr>
          <w:rFonts w:ascii="Times New Roman" w:cs="Times New Roman" w:eastAsia="Times New Roman" w:hAnsi="Times New Roman"/>
          <w:sz w:val="19"/>
          <w:szCs w:val="19"/>
          <w:u w:val="single" w:color="auto"/>
          <w:color w:val="auto"/>
        </w:rPr>
        <w:t>Audited Financial Statements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FF0000"/>
          <w:strike w:val="1"/>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(ii)</w:t>
      </w:r>
      <w:r>
        <w:rPr>
          <w:rFonts w:ascii="Times New Roman" w:cs="Times New Roman" w:eastAsia="Times New Roman" w:hAnsi="Times New Roman"/>
          <w:sz w:val="19"/>
          <w:szCs w:val="19"/>
          <w:color w:val="auto"/>
        </w:rPr>
        <w:t xml:space="preserve"> the unaudited consolidated financial statements of </w:t>
      </w:r>
      <w:r>
        <w:rPr>
          <w:rFonts w:ascii="Times New Roman" w:cs="Times New Roman" w:eastAsia="Times New Roman" w:hAnsi="Times New Roman"/>
          <w:sz w:val="19"/>
          <w:szCs w:val="19"/>
          <w:b w:val="1"/>
          <w:bCs w:val="1"/>
          <w:color w:val="FF0000"/>
          <w:strike w:val="1"/>
        </w:rPr>
        <w:t>Zynga and its subsidiaries</w:t>
      </w:r>
      <w:r>
        <w:rPr>
          <w:rFonts w:ascii="Times New Roman" w:cs="Times New Roman" w:eastAsia="Times New Roman" w:hAnsi="Times New Roman"/>
          <w:sz w:val="19"/>
          <w:szCs w:val="19"/>
          <w:b w:val="1"/>
          <w:bCs w:val="1"/>
          <w:u w:val="single" w:color="auto"/>
          <w:color w:val="0000FF"/>
        </w:rPr>
        <w:t>the Borrower and its Subsidiaries</w:t>
      </w:r>
      <w:r>
        <w:rPr>
          <w:rFonts w:ascii="Times New Roman" w:cs="Times New Roman" w:eastAsia="Times New Roman" w:hAnsi="Times New Roman"/>
          <w:sz w:val="19"/>
          <w:szCs w:val="19"/>
          <w:color w:val="auto"/>
        </w:rPr>
        <w:t xml:space="preserve"> consisting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lxxi</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1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 xml:space="preserve">balance sheets as of and for the fiscal quarter ended </w:t>
      </w:r>
      <w:r>
        <w:rPr>
          <w:rFonts w:ascii="Times New Roman" w:cs="Times New Roman" w:eastAsia="Times New Roman" w:hAnsi="Times New Roman"/>
          <w:sz w:val="18"/>
          <w:szCs w:val="18"/>
          <w:b w:val="1"/>
          <w:bCs w:val="1"/>
          <w:color w:val="FF0000"/>
          <w:strike w:val="1"/>
        </w:rPr>
        <w:t>March</w:t>
      </w:r>
      <w:r>
        <w:rPr>
          <w:rFonts w:ascii="Times New Roman" w:cs="Times New Roman" w:eastAsia="Times New Roman" w:hAnsi="Times New Roman"/>
          <w:sz w:val="18"/>
          <w:szCs w:val="18"/>
          <w:b w:val="1"/>
          <w:bCs w:val="1"/>
          <w:u w:val="single" w:color="auto"/>
          <w:color w:val="0000FF"/>
        </w:rPr>
        <w:t>December</w:t>
      </w:r>
      <w:r>
        <w:rPr>
          <w:rFonts w:ascii="Times New Roman" w:cs="Times New Roman" w:eastAsia="Times New Roman" w:hAnsi="Times New Roman"/>
          <w:sz w:val="18"/>
          <w:szCs w:val="18"/>
          <w:color w:val="auto"/>
        </w:rPr>
        <w:t xml:space="preserve"> 31, </w:t>
      </w:r>
      <w:r>
        <w:rPr>
          <w:rFonts w:ascii="Times New Roman" w:cs="Times New Roman" w:eastAsia="Times New Roman" w:hAnsi="Times New Roman"/>
          <w:sz w:val="18"/>
          <w:szCs w:val="18"/>
          <w:b w:val="1"/>
          <w:bCs w:val="1"/>
          <w:color w:val="FF0000"/>
          <w:strike w:val="1"/>
        </w:rPr>
        <w:t>2022</w:t>
      </w:r>
      <w:r>
        <w:rPr>
          <w:rFonts w:ascii="Times New Roman" w:cs="Times New Roman" w:eastAsia="Times New Roman" w:hAnsi="Times New Roman"/>
          <w:sz w:val="18"/>
          <w:szCs w:val="18"/>
          <w:b w:val="1"/>
          <w:bCs w:val="1"/>
          <w:u w:val="single" w:color="auto"/>
          <w:color w:val="0000FF"/>
        </w:rPr>
        <w:t>2024</w:t>
      </w:r>
      <w:r>
        <w:rPr>
          <w:rFonts w:ascii="Times New Roman" w:cs="Times New Roman" w:eastAsia="Times New Roman" w:hAnsi="Times New Roman"/>
          <w:sz w:val="18"/>
          <w:szCs w:val="18"/>
          <w:color w:val="auto"/>
        </w:rPr>
        <w:t xml:space="preserve"> (the last date of the last such applicable fiscal </w:t>
      </w:r>
      <w:r>
        <w:rPr>
          <w:rFonts w:ascii="Times New Roman" w:cs="Times New Roman" w:eastAsia="Times New Roman" w:hAnsi="Times New Roman"/>
          <w:sz w:val="18"/>
          <w:szCs w:val="18"/>
          <w:b w:val="1"/>
          <w:bCs w:val="1"/>
          <w:color w:val="FF0000"/>
          <w:strike w:val="1"/>
        </w:rPr>
        <w:t>year or fiscal</w:t>
      </w:r>
      <w:r>
        <w:rPr>
          <w:rFonts w:ascii="Times New Roman" w:cs="Times New Roman" w:eastAsia="Times New Roman" w:hAnsi="Times New Roman"/>
          <w:sz w:val="18"/>
          <w:szCs w:val="18"/>
          <w:color w:val="auto"/>
        </w:rPr>
        <w:t xml:space="preserve"> quarter</w:t>
      </w:r>
      <w:r>
        <w:rPr>
          <w:rFonts w:ascii="Times New Roman" w:cs="Times New Roman" w:eastAsia="Times New Roman" w:hAnsi="Times New Roman"/>
          <w:sz w:val="18"/>
          <w:szCs w:val="18"/>
          <w:b w:val="1"/>
          <w:bCs w:val="1"/>
          <w:color w:val="FF0000"/>
          <w:strike w:val="1"/>
        </w:rPr>
        <w:t>, the “</w:t>
      </w:r>
      <w:r>
        <w:rPr>
          <w:rFonts w:ascii="Times New Roman" w:cs="Times New Roman" w:eastAsia="Times New Roman" w:hAnsi="Times New Roman"/>
          <w:sz w:val="18"/>
          <w:szCs w:val="18"/>
          <w:b w:val="1"/>
          <w:bCs w:val="1"/>
          <w:u w:val="single" w:color="auto"/>
          <w:color w:val="FF0000"/>
          <w:strike w:val="1"/>
        </w:rPr>
        <w:t>Financial Statements Date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and the related statements of income and cash flows for the portion of the fiscal year then ended, in each</w:t>
      </w:r>
    </w:p>
    <w:p>
      <w:pPr>
        <w:spacing w:after="0" w:line="205" w:lineRule="auto"/>
        <w:rPr>
          <w:sz w:val="20"/>
          <w:szCs w:val="20"/>
          <w:color w:val="auto"/>
        </w:rPr>
      </w:pPr>
      <w:r>
        <w:rPr>
          <w:rFonts w:ascii="Times New Roman" w:cs="Times New Roman" w:eastAsia="Times New Roman" w:hAnsi="Times New Roman"/>
          <w:sz w:val="19"/>
          <w:szCs w:val="19"/>
          <w:color w:val="auto"/>
        </w:rPr>
        <w:t xml:space="preserve">case, prepared in accordance with GAAP in all material respects or except as set forth therein (the “Unaudited </w:t>
      </w:r>
      <w:r>
        <w:rPr>
          <w:rFonts w:ascii="Times New Roman" w:cs="Times New Roman" w:eastAsia="Times New Roman" w:hAnsi="Times New Roman"/>
          <w:sz w:val="19"/>
          <w:szCs w:val="19"/>
          <w:color w:val="auto"/>
          <w:highlight w:val="lightGray"/>
        </w:rPr>
        <w:t>Financial Statements”</w:t>
      </w: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color w:val="auto"/>
          <w:highlight w:val="lightGray"/>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the foregoing representation is deemed satisfied as of the date hereof by the prior public filing with the SEC of the</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Audited Financial Statements and the Unaudited Financial Statements by the Borrower </w:t>
      </w:r>
      <w:r>
        <w:rPr>
          <w:rFonts w:ascii="Times New Roman" w:cs="Times New Roman" w:eastAsia="Times New Roman" w:hAnsi="Times New Roman"/>
          <w:sz w:val="19"/>
          <w:szCs w:val="19"/>
          <w:b w:val="1"/>
          <w:bCs w:val="1"/>
          <w:color w:val="FF0000"/>
        </w:rPr>
        <w:t>and Zynga, as applicable.</w:t>
      </w:r>
      <w:r>
        <w:rPr>
          <w:rFonts w:ascii="Times New Roman" w:cs="Times New Roman" w:eastAsia="Times New Roman" w:hAnsi="Times New Roman"/>
          <w:sz w:val="19"/>
          <w:szCs w:val="19"/>
          <w:color w:val="auto"/>
        </w:rPr>
        <w:t>). Such financial statements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-55880</wp:posOffset>
            </wp:positionV>
            <wp:extent cx="13417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8"/>
          <w:szCs w:val="18"/>
          <w:color w:val="auto"/>
        </w:rPr>
        <w:t xml:space="preserve">been prepared in good faith, based on assumptions believed by the Borrower to be reasonable as of the date of delivery thereof, and present fairly, in all material respects, the financial position and results of operations and cash flows of the Borrower and its consolidated Subsidiaries </w:t>
      </w:r>
      <w:r>
        <w:rPr>
          <w:rFonts w:ascii="Times New Roman" w:cs="Times New Roman" w:eastAsia="Times New Roman" w:hAnsi="Times New Roman"/>
          <w:sz w:val="18"/>
          <w:szCs w:val="18"/>
          <w:b w:val="1"/>
          <w:bCs w:val="1"/>
          <w:color w:val="FF0000"/>
          <w:strike w:val="1"/>
        </w:rPr>
        <w:t>(other than</w:t>
      </w:r>
    </w:p>
    <w:p>
      <w:pPr>
        <w:spacing w:after="0" w:line="213" w:lineRule="auto"/>
        <w:rPr>
          <w:sz w:val="20"/>
          <w:szCs w:val="20"/>
          <w:color w:val="auto"/>
        </w:rPr>
      </w:pPr>
      <w:r>
        <w:rPr>
          <w:rFonts w:ascii="Times New Roman" w:cs="Times New Roman" w:eastAsia="Times New Roman" w:hAnsi="Times New Roman"/>
          <w:sz w:val="19"/>
          <w:szCs w:val="19"/>
          <w:b w:val="1"/>
          <w:bCs w:val="1"/>
          <w:color w:val="FF0000"/>
          <w:strike w:val="1"/>
        </w:rPr>
        <w:t>Zynga and its consolidated Subsidiaries) and Zynga and its consolidated Subsidiaries, as applicable</w:t>
      </w:r>
      <w:r>
        <w:rPr>
          <w:rFonts w:ascii="Times New Roman" w:cs="Times New Roman" w:eastAsia="Times New Roman" w:hAnsi="Times New Roman"/>
          <w:sz w:val="19"/>
          <w:szCs w:val="19"/>
          <w:color w:val="000000"/>
        </w:rPr>
        <w:t>, as of such dates and for such periods in</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 xml:space="preserve">accordance with GAAP, subject to </w:t>
      </w:r>
      <w:r>
        <w:rPr>
          <w:rFonts w:ascii="Times New Roman" w:cs="Times New Roman" w:eastAsia="Times New Roman" w:hAnsi="Times New Roman"/>
          <w:sz w:val="19"/>
          <w:szCs w:val="19"/>
          <w:b w:val="1"/>
          <w:bCs w:val="1"/>
          <w:color w:val="FF0000"/>
          <w:strike w:val="1"/>
        </w:rPr>
        <w:t>year-end</w:t>
      </w:r>
      <w:r>
        <w:rPr>
          <w:rFonts w:ascii="Times New Roman" w:cs="Times New Roman" w:eastAsia="Times New Roman" w:hAnsi="Times New Roman"/>
          <w:sz w:val="19"/>
          <w:szCs w:val="19"/>
          <w:b w:val="1"/>
          <w:bCs w:val="1"/>
          <w:u w:val="single" w:color="auto"/>
          <w:color w:val="0000FF"/>
        </w:rPr>
        <w:t>year end</w:t>
      </w:r>
      <w:r>
        <w:rPr>
          <w:rFonts w:ascii="Times New Roman" w:cs="Times New Roman" w:eastAsia="Times New Roman" w:hAnsi="Times New Roman"/>
          <w:sz w:val="19"/>
          <w:szCs w:val="19"/>
          <w:color w:val="auto"/>
        </w:rPr>
        <w:t xml:space="preserve"> audit adjustments and the absence of footnotes in the case of the statements referred to in clause </w:t>
      </w:r>
      <w:r>
        <w:rPr>
          <w:rFonts w:ascii="Times New Roman" w:cs="Times New Roman" w:eastAsia="Times New Roman" w:hAnsi="Times New Roman"/>
          <w:sz w:val="19"/>
          <w:szCs w:val="19"/>
          <w:b w:val="1"/>
          <w:bCs w:val="1"/>
          <w:color w:val="FF0000"/>
          <w:strike w:val="1"/>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(iii)</w:t>
      </w:r>
      <w:r>
        <w:rPr>
          <w:rFonts w:ascii="Times New Roman" w:cs="Times New Roman" w:eastAsia="Times New Roman" w:hAnsi="Times New Roman"/>
          <w:sz w:val="19"/>
          <w:szCs w:val="19"/>
          <w:color w:val="auto"/>
        </w:rPr>
        <w:t xml:space="preserve"> above.</w:t>
      </w:r>
    </w:p>
    <w:p>
      <w:pPr>
        <w:spacing w:after="0" w:line="165" w:lineRule="exact"/>
        <w:rPr>
          <w:sz w:val="20"/>
          <w:szCs w:val="20"/>
          <w:color w:val="auto"/>
        </w:rPr>
      </w:pPr>
    </w:p>
    <w:p>
      <w:pPr>
        <w:jc w:val="both"/>
        <w:ind w:firstLine="1241"/>
        <w:spacing w:after="0" w:line="253" w:lineRule="auto"/>
        <w:tabs>
          <w:tab w:leader="none" w:pos="1537" w:val="left"/>
        </w:tabs>
        <w:numPr>
          <w:ilvl w:val="0"/>
          <w:numId w:val="121"/>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unaudited pro forma consolidated balance sheet for the Borrower prepared as of the Financial Statements Date, prepared so as to give effect to the Transaction as if the Transactions had occurred as of such date or at the beginning of such period, as applicable (which need not be prepared in compliance with Regulations S-X of the Securities Act of 1933, as amended (the “</w:t>
      </w:r>
      <w:r>
        <w:rPr>
          <w:rFonts w:ascii="Times New Roman" w:cs="Times New Roman" w:eastAsia="Times New Roman" w:hAnsi="Times New Roman"/>
          <w:sz w:val="19"/>
          <w:szCs w:val="19"/>
          <w:b w:val="1"/>
          <w:bCs w:val="1"/>
          <w:u w:val="single" w:color="auto"/>
          <w:color w:val="FF0000"/>
          <w:strike w:val="1"/>
        </w:rPr>
        <w:t>Pro Forma</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b w:val="1"/>
          <w:bCs w:val="1"/>
          <w:u w:val="single" w:color="auto"/>
          <w:color w:val="FF0000"/>
          <w:strike w:val="1"/>
        </w:rPr>
        <w:t>Financial Statements</w:t>
      </w:r>
      <w:r>
        <w:rPr>
          <w:rFonts w:ascii="Times New Roman" w:cs="Times New Roman" w:eastAsia="Times New Roman" w:hAnsi="Times New Roman"/>
          <w:sz w:val="19"/>
          <w:szCs w:val="19"/>
          <w:b w:val="1"/>
          <w:bCs w:val="1"/>
          <w:color w:val="FF0000"/>
          <w:strike w:val="1"/>
        </w:rPr>
        <w:t xml:space="preserve">”)), copies of which have heretofore been furnished to </w:t>
      </w:r>
      <w:r>
        <w:rPr>
          <w:rFonts w:ascii="Times New Roman" w:cs="Times New Roman" w:eastAsia="Times New Roman" w:hAnsi="Times New Roman"/>
          <w:sz w:val="19"/>
          <w:szCs w:val="19"/>
          <w:color w:val="008000"/>
          <w:strike w:val="1"/>
        </w:rPr>
        <w:t>the Administrative Agent and the</w:t>
      </w:r>
      <w:r>
        <w:rPr>
          <w:rFonts w:ascii="Times New Roman" w:cs="Times New Roman" w:eastAsia="Times New Roman" w:hAnsi="Times New Roman"/>
          <w:sz w:val="19"/>
          <w:szCs w:val="19"/>
          <w:b w:val="1"/>
          <w:bCs w:val="1"/>
          <w:color w:val="FF0000"/>
          <w:strike w:val="1"/>
        </w:rPr>
        <w:t xml:space="preserve"> Lenders; </w:t>
      </w:r>
      <w:r>
        <w:rPr>
          <w:rFonts w:ascii="Times New Roman" w:cs="Times New Roman" w:eastAsia="Times New Roman" w:hAnsi="Times New Roman"/>
          <w:sz w:val="19"/>
          <w:szCs w:val="19"/>
          <w:b w:val="1"/>
          <w:bCs w:val="1"/>
          <w:u w:val="single" w:color="auto"/>
          <w:color w:val="FF0000"/>
          <w:strike w:val="1"/>
        </w:rPr>
        <w:t>provided</w:t>
      </w:r>
      <w:r>
        <w:rPr>
          <w:rFonts w:ascii="Times New Roman" w:cs="Times New Roman" w:eastAsia="Times New Roman" w:hAnsi="Times New Roman"/>
          <w:sz w:val="19"/>
          <w:szCs w:val="19"/>
          <w:b w:val="1"/>
          <w:bCs w:val="1"/>
          <w:color w:val="FF0000"/>
          <w:strike w:val="1"/>
        </w:rPr>
        <w:t xml:space="preserve"> that, for the avoidance of doubt, the foregoing representation is deemed satisfied as of the date hereof by the prior public filing with the SEC of the Pro Forma Financial Statements by the Borrower. The Pro Forma Financial 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the Financial Statements Date disclosed therein and their estimated results of operations for the period covered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-800735</wp:posOffset>
            </wp:positionV>
            <wp:extent cx="387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a:extLst>
                        <a:ext uri="{28A0092B-C50C-407E-A947-70E740481C1C}"/>
                      </a:extLst>
                    </a:blip>
                    <a:srcRect/>
                    <a:stretch>
                      <a:fillRect/>
                    </a:stretch>
                  </pic:blipFill>
                  <pic:spPr bwMode="auto">
                    <a:xfrm>
                      <a:off x="0" y="0"/>
                      <a:ext cx="3878580" cy="8255"/>
                    </a:xfrm>
                    <a:prstGeom prst="rect">
                      <a:avLst/>
                    </a:prstGeom>
                    <a:noFill/>
                  </pic:spPr>
                </pic:pic>
              </a:graphicData>
            </a:graphic>
          </wp:anchor>
        </w:drawing>
      </w:r>
    </w:p>
    <w:p>
      <w:pPr>
        <w:spacing w:after="0" w:line="138" w:lineRule="exact"/>
        <w:rPr>
          <w:sz w:val="20"/>
          <w:szCs w:val="20"/>
          <w:color w:val="auto"/>
        </w:rPr>
      </w:pPr>
    </w:p>
    <w:p>
      <w:pPr>
        <w:ind w:left="1840" w:hanging="599"/>
        <w:spacing w:after="0"/>
        <w:tabs>
          <w:tab w:leader="none" w:pos="1840" w:val="left"/>
        </w:tabs>
        <w:numPr>
          <w:ilvl w:val="0"/>
          <w:numId w:val="122"/>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color w:val="FF0000"/>
          <w:strike w:val="1"/>
        </w:rPr>
        <w:t>(c)</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Since March 31,</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FF0000"/>
          <w:strike w:val="1"/>
        </w:rPr>
        <w:t>2022</w:t>
      </w:r>
      <w:r>
        <w:rPr>
          <w:rFonts w:ascii="Times New Roman" w:cs="Times New Roman" w:eastAsia="Times New Roman" w:hAnsi="Times New Roman"/>
          <w:sz w:val="19"/>
          <w:szCs w:val="19"/>
          <w:b w:val="1"/>
          <w:bCs w:val="1"/>
          <w:u w:val="single" w:color="auto"/>
          <w:color w:val="0000FF"/>
        </w:rPr>
        <w:t>2024</w:t>
      </w:r>
      <w:r>
        <w:rPr>
          <w:rFonts w:ascii="Times New Roman" w:cs="Times New Roman" w:eastAsia="Times New Roman" w:hAnsi="Times New Roman"/>
          <w:sz w:val="19"/>
          <w:szCs w:val="19"/>
          <w:color w:val="000000"/>
        </w:rPr>
        <w:t>, there has been no Material Adverse Effect.</w:t>
      </w:r>
    </w:p>
    <w:p>
      <w:pPr>
        <w:spacing w:after="0" w:line="185" w:lineRule="exact"/>
        <w:rPr>
          <w:sz w:val="20"/>
          <w:szCs w:val="20"/>
          <w:color w:val="auto"/>
        </w:rPr>
      </w:pPr>
    </w:p>
    <w:p>
      <w:pPr>
        <w:jc w:val="both"/>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3.05. </w:t>
      </w:r>
      <w:r>
        <w:rPr>
          <w:rFonts w:ascii="Times New Roman" w:cs="Times New Roman" w:eastAsia="Times New Roman" w:hAnsi="Times New Roman"/>
          <w:sz w:val="19"/>
          <w:szCs w:val="19"/>
          <w:u w:val="single" w:color="auto"/>
          <w:color w:val="000000"/>
        </w:rPr>
        <w:t>Properties</w:t>
      </w:r>
      <w:r>
        <w:rPr>
          <w:rFonts w:ascii="Times New Roman" w:cs="Times New Roman" w:eastAsia="Times New Roman" w:hAnsi="Times New Roman"/>
          <w:sz w:val="19"/>
          <w:szCs w:val="19"/>
          <w:color w:val="000000"/>
        </w:rPr>
        <w:t>. Each of the Borrower and its Subsidiaries has good title to, or valid leasehold interests in, all its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real and personal property material to its business, except to the extent the insufficiency of such title or interests, individually or in the aggregate,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could not reasonably be expected to result in a Material Adverse Effect.</w:t>
      </w:r>
    </w:p>
    <w:p>
      <w:pPr>
        <w:spacing w:after="0" w:line="16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3.06. </w:t>
      </w:r>
      <w:r>
        <w:rPr>
          <w:rFonts w:ascii="Times New Roman" w:cs="Times New Roman" w:eastAsia="Times New Roman" w:hAnsi="Times New Roman"/>
          <w:sz w:val="19"/>
          <w:szCs w:val="19"/>
          <w:u w:val="single" w:color="auto"/>
          <w:color w:val="000000"/>
        </w:rPr>
        <w:t>Litigation, Environmental and Labor Matters</w:t>
      </w:r>
      <w:r>
        <w:rPr>
          <w:rFonts w:ascii="Times New Roman" w:cs="Times New Roman" w:eastAsia="Times New Roman" w:hAnsi="Times New Roman"/>
          <w:sz w:val="19"/>
          <w:szCs w:val="19"/>
          <w:color w:val="000000"/>
        </w:rPr>
        <w:t>. (a) There are no actions, suits or proceedings by or before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arbitrator or Governmental Authority pending against or, to the knowledge of the Borrower, threatened in writing against the Borrower or any of its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Subsidiaries as to which there is a reasonable possibility of an adverse determination and that, if adversely determined, could reasonably be expected, individually or in the aggregate, to result in a Material Adverse Effect.</w:t>
      </w:r>
    </w:p>
    <w:p>
      <w:pPr>
        <w:spacing w:after="0" w:line="143" w:lineRule="exact"/>
        <w:rPr>
          <w:sz w:val="20"/>
          <w:szCs w:val="20"/>
          <w:color w:val="auto"/>
        </w:rPr>
      </w:pPr>
    </w:p>
    <w:p>
      <w:pPr>
        <w:jc w:val="both"/>
        <w:ind w:firstLine="1241"/>
        <w:spacing w:after="0" w:line="220" w:lineRule="auto"/>
        <w:tabs>
          <w:tab w:leader="none" w:pos="1847"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58" w:lineRule="exact"/>
        <w:rPr>
          <w:rFonts w:ascii="Times New Roman" w:cs="Times New Roman" w:eastAsia="Times New Roman" w:hAnsi="Times New Roman"/>
          <w:sz w:val="19"/>
          <w:szCs w:val="19"/>
          <w:color w:val="010000"/>
        </w:rPr>
      </w:pPr>
    </w:p>
    <w:p>
      <w:pPr>
        <w:jc w:val="both"/>
        <w:ind w:firstLine="1241"/>
        <w:spacing w:after="0" w:line="217" w:lineRule="auto"/>
        <w:tabs>
          <w:tab w:leader="none" w:pos="1844"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are no strikes, lockouts or slowdowns against the Borrower or any of its Subsidiaries pending or, to their knowledge, threatened in writing that could reasonably be expected, individually or in the aggregate, to result in a Material Adverse Effect. The hours worked by and payments made to employees of the Borrower and its Subsidiaries have not been in violation of the Fair Labor Standards Act or any other applicable Federal, state, local or foreign law relating to such matters, to the extent such violations, individually or in the aggregate, could not reasonably be expected to result in a Material Adverse Effect. All material payments due from the Borrower or any of its Subsidiaries,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lxxii</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2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which any claim may be made against the Borrower or any of its Subsidiaries, on account of wages and employee health and welfare insurance and other benefits, have been paid or accrued as liabilities on the books of the Borrower or such Subsidiary, except where the failure to do so,</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individually or in the aggregate, could not reasonably be expected to result in a Material Adverse Effect. The consummation of the </w:t>
      </w:r>
      <w:r>
        <w:rPr>
          <w:rFonts w:ascii="Times New Roman" w:cs="Times New Roman" w:eastAsia="Times New Roman" w:hAnsi="Times New Roman"/>
          <w:sz w:val="19"/>
          <w:szCs w:val="19"/>
          <w:b w:val="1"/>
          <w:bCs w:val="1"/>
          <w:color w:val="FF0000"/>
          <w:strike w:val="1"/>
        </w:rPr>
        <w:t>Transactions</w:t>
      </w:r>
      <w:r>
        <w:rPr>
          <w:rFonts w:ascii="Times New Roman" w:cs="Times New Roman" w:eastAsia="Times New Roman" w:hAnsi="Times New Roman"/>
          <w:sz w:val="19"/>
          <w:szCs w:val="19"/>
          <w:b w:val="1"/>
          <w:bCs w:val="1"/>
          <w:u w:val="single" w:color="auto"/>
          <w:color w:val="0000FF"/>
        </w:rPr>
        <w:t>transactions</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will not give rise to any right of termination or right of renegotiation on the part of any union under any collective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bargaining agreement under which the Borrower or any of its Subsidiaries is bound that could reasonably be expected, individually or in the aggregate, to result in a Material Adverse Effect.</w:t>
      </w:r>
    </w:p>
    <w:p>
      <w:pPr>
        <w:spacing w:after="0" w:line="143"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3.07. </w:t>
      </w:r>
      <w:r>
        <w:rPr>
          <w:rFonts w:ascii="Times New Roman" w:cs="Times New Roman" w:eastAsia="Times New Roman" w:hAnsi="Times New Roman"/>
          <w:sz w:val="19"/>
          <w:szCs w:val="19"/>
          <w:u w:val="single" w:color="auto"/>
          <w:color w:val="000000"/>
        </w:rPr>
        <w:t>Compliance with Laws and Agreements</w:t>
      </w:r>
      <w:r>
        <w:rPr>
          <w:rFonts w:ascii="Times New Roman" w:cs="Times New Roman" w:eastAsia="Times New Roman" w:hAnsi="Times New Roman"/>
          <w:sz w:val="19"/>
          <w:szCs w:val="19"/>
          <w:color w:val="000000"/>
        </w:rPr>
        <w:t>. Each of the Borrower and its Subsidiaries is in compliance with 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laws, regulations and orders of any Governmental Authority applicable to it or its property and all indentures, agreements and other instruments</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binding upon it or its property, except, in each case, where the failure to do so, individually or in the aggregate, could not reasonably be expected to result in a Material Adverse Effect.</w:t>
      </w:r>
    </w:p>
    <w:p>
      <w:pPr>
        <w:spacing w:after="0" w:line="156" w:lineRule="exact"/>
        <w:rPr>
          <w:sz w:val="20"/>
          <w:szCs w:val="20"/>
          <w:color w:val="auto"/>
        </w:rPr>
      </w:pPr>
    </w:p>
    <w:p>
      <w:pPr>
        <w:ind w:firstLine="1238"/>
        <w:spacing w:after="0" w:line="233" w:lineRule="auto"/>
        <w:rPr>
          <w:sz w:val="20"/>
          <w:szCs w:val="20"/>
          <w:color w:val="auto"/>
        </w:rPr>
      </w:pPr>
      <w:r>
        <w:rPr>
          <w:rFonts w:ascii="Times New Roman" w:cs="Times New Roman" w:eastAsia="Times New Roman" w:hAnsi="Times New Roman"/>
          <w:sz w:val="19"/>
          <w:szCs w:val="19"/>
          <w:color w:val="010000"/>
        </w:rPr>
        <w:t xml:space="preserve">SECTION 3.08. </w:t>
      </w:r>
      <w:r>
        <w:rPr>
          <w:rFonts w:ascii="Times New Roman" w:cs="Times New Roman" w:eastAsia="Times New Roman" w:hAnsi="Times New Roman"/>
          <w:sz w:val="19"/>
          <w:szCs w:val="19"/>
          <w:u w:val="single" w:color="auto"/>
          <w:color w:val="000000"/>
        </w:rPr>
        <w:t>Investment Company Status</w:t>
      </w:r>
      <w:r>
        <w:rPr>
          <w:rFonts w:ascii="Times New Roman" w:cs="Times New Roman" w:eastAsia="Times New Roman" w:hAnsi="Times New Roman"/>
          <w:sz w:val="19"/>
          <w:szCs w:val="19"/>
          <w:color w:val="000000"/>
        </w:rPr>
        <w:t>. Neither the Borrower nor any of its Subsidiaries is an “investment company”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as defined in, or subject to regulation under, the Investment Company Act of 1940.</w:t>
      </w:r>
    </w:p>
    <w:p>
      <w:pPr>
        <w:spacing w:after="0" w:line="15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3.09.</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Subsidiaries has timely filed or caused to be filed all Tax returns and</w:t>
      </w:r>
    </w:p>
    <w:p>
      <w:pPr>
        <w:spacing w:after="0" w:line="216" w:lineRule="auto"/>
        <w:rPr>
          <w:sz w:val="20"/>
          <w:szCs w:val="20"/>
          <w:color w:val="auto"/>
        </w:rPr>
      </w:pPr>
      <w:r>
        <w:rPr>
          <w:rFonts w:ascii="Times New Roman" w:cs="Times New Roman" w:eastAsia="Times New Roman" w:hAnsi="Times New Roman"/>
          <w:sz w:val="18"/>
          <w:szCs w:val="18"/>
          <w:color w:val="auto"/>
        </w:rPr>
        <w:t>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reserves in accordance with GAAP or (b) to the extent that the failure to do so, individually or in the aggregate, could not reasonably be expected to result in a Material Adverse Effect.</w:t>
      </w:r>
    </w:p>
    <w:p>
      <w:pPr>
        <w:spacing w:after="0" w:line="143" w:lineRule="exact"/>
        <w:rPr>
          <w:sz w:val="20"/>
          <w:szCs w:val="20"/>
          <w:color w:val="auto"/>
        </w:rPr>
      </w:pPr>
    </w:p>
    <w:p>
      <w:pPr>
        <w:ind w:firstLine="1238"/>
        <w:spacing w:after="0"/>
        <w:rPr>
          <w:sz w:val="20"/>
          <w:szCs w:val="20"/>
          <w:color w:val="auto"/>
        </w:rPr>
      </w:pPr>
      <w:r>
        <w:rPr>
          <w:rFonts w:ascii="Times New Roman" w:cs="Times New Roman" w:eastAsia="Times New Roman" w:hAnsi="Times New Roman"/>
          <w:sz w:val="19"/>
          <w:szCs w:val="19"/>
          <w:color w:val="010000"/>
        </w:rPr>
        <w:t xml:space="preserve">SECTION 3.10. </w:t>
      </w:r>
      <w:r>
        <w:rPr>
          <w:rFonts w:ascii="Times New Roman" w:cs="Times New Roman" w:eastAsia="Times New Roman" w:hAnsi="Times New Roman"/>
          <w:sz w:val="19"/>
          <w:szCs w:val="19"/>
          <w:u w:val="single" w:color="auto"/>
          <w:color w:val="000000"/>
        </w:rPr>
        <w:t>ERISA</w:t>
      </w:r>
      <w:r>
        <w:rPr>
          <w:rFonts w:ascii="Times New Roman" w:cs="Times New Roman" w:eastAsia="Times New Roman" w:hAnsi="Times New Roman"/>
          <w:sz w:val="19"/>
          <w:szCs w:val="19"/>
          <w:color w:val="000000"/>
        </w:rPr>
        <w:t>. No ERISA Event has occurred or is reasonably expected to occur that, when taken together with 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other such ERISA Events for which liability is reasonably expected to occur, could reasonably be expected to result in a Material Adverse Effect.</w:t>
      </w:r>
    </w:p>
    <w:p>
      <w:pPr>
        <w:spacing w:after="0" w:line="156"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3.11. </w:t>
      </w:r>
      <w:r>
        <w:rPr>
          <w:rFonts w:ascii="Times New Roman" w:cs="Times New Roman" w:eastAsia="Times New Roman" w:hAnsi="Times New Roman"/>
          <w:sz w:val="19"/>
          <w:szCs w:val="19"/>
          <w:u w:val="single" w:color="auto"/>
          <w:color w:val="000000"/>
        </w:rPr>
        <w:t>Disclosure</w:t>
      </w:r>
      <w:r>
        <w:rPr>
          <w:rFonts w:ascii="Times New Roman" w:cs="Times New Roman" w:eastAsia="Times New Roman" w:hAnsi="Times New Roman"/>
          <w:sz w:val="19"/>
          <w:szCs w:val="19"/>
          <w:color w:val="000000"/>
        </w:rPr>
        <w:t>. Neither the Lender Presentation nor any of the other reports, financial statements, certificates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other written or formally presented information furnished by or on behalf of the Borrower or any Subsidiary to the Administrative Agent or any</w:t>
      </w:r>
    </w:p>
    <w:p>
      <w:pPr>
        <w:spacing w:after="0" w:line="213" w:lineRule="auto"/>
        <w:rPr>
          <w:sz w:val="20"/>
          <w:szCs w:val="20"/>
          <w:color w:val="auto"/>
        </w:rPr>
      </w:pPr>
      <w:r>
        <w:rPr>
          <w:rFonts w:ascii="Times New Roman" w:cs="Times New Roman" w:eastAsia="Times New Roman" w:hAnsi="Times New Roman"/>
          <w:sz w:val="19"/>
          <w:szCs w:val="19"/>
          <w:color w:val="auto"/>
        </w:rPr>
        <w:t>Lender in connection with the negotiation of this Agreement or delivered hereunder (as modified or supplemented by other information so</w:t>
      </w:r>
    </w:p>
    <w:p>
      <w:pPr>
        <w:jc w:val="both"/>
        <w:spacing w:after="0" w:line="216" w:lineRule="auto"/>
        <w:rPr>
          <w:sz w:val="20"/>
          <w:szCs w:val="20"/>
          <w:color w:val="auto"/>
        </w:rPr>
      </w:pPr>
      <w:r>
        <w:rPr>
          <w:rFonts w:ascii="Times New Roman" w:cs="Times New Roman" w:eastAsia="Times New Roman" w:hAnsi="Times New Roman"/>
          <w:sz w:val="18"/>
          <w:szCs w:val="18"/>
          <w:color w:val="auto"/>
        </w:rPr>
        <w:t>furnished) contains, when furnished and taken as a whole, and taken as a whole with the Borrower’s filings with the SEC, any material misstatement of fact or omits to state any material fact necessary to make the statements therein, in the light of the circumstances under which they were made,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not materially misleading at such time (after giving effect to all supplements so furnished from time to time) in light of the circumstances under which such information or data was furnished.</w:t>
      </w:r>
    </w:p>
    <w:p>
      <w:pPr>
        <w:spacing w:after="0" w:line="143"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3.12. </w:t>
      </w:r>
      <w:r>
        <w:rPr>
          <w:rFonts w:ascii="Times New Roman" w:cs="Times New Roman" w:eastAsia="Times New Roman" w:hAnsi="Times New Roman"/>
          <w:sz w:val="19"/>
          <w:szCs w:val="19"/>
          <w:u w:val="single" w:color="auto"/>
          <w:color w:val="000000"/>
        </w:rPr>
        <w:t>Federal Reserve Regulations</w:t>
      </w:r>
      <w:r>
        <w:rPr>
          <w:rFonts w:ascii="Times New Roman" w:cs="Times New Roman" w:eastAsia="Times New Roman" w:hAnsi="Times New Roman"/>
          <w:sz w:val="19"/>
          <w:szCs w:val="19"/>
          <w:color w:val="000000"/>
        </w:rPr>
        <w:t>. No part of the proceeds of (i) any Loan or (ii) to the knowledge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Borrower, any Subsidiary, or their respective directors, officers and employees, any Letter of Credit, in each case, have been used or will be used</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directly by the Borrower or its Subsidiaries for any purpose that entails a violation of any of the Regulations of the Federal Reserve Board, including Regulations T, U and X.</w:t>
      </w:r>
    </w:p>
    <w:p>
      <w:pPr>
        <w:spacing w:after="0" w:line="156"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3.13.</w:t>
      </w:r>
      <w:r>
        <w:rPr>
          <w:sz w:val="20"/>
          <w:szCs w:val="20"/>
          <w:color w:val="auto"/>
        </w:rPr>
        <w:tab/>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w:t>
      </w:r>
    </w:p>
    <w:p>
      <w:pPr>
        <w:spacing w:after="0" w:line="18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3.14. </w:t>
      </w:r>
      <w:r>
        <w:rPr>
          <w:rFonts w:ascii="Times New Roman" w:cs="Times New Roman" w:eastAsia="Times New Roman" w:hAnsi="Times New Roman"/>
          <w:sz w:val="19"/>
          <w:szCs w:val="19"/>
          <w:u w:val="single" w:color="auto"/>
          <w:color w:val="000000"/>
        </w:rPr>
        <w:t>Anti-Corruption Laws and Sanctions</w:t>
      </w:r>
      <w:r>
        <w:rPr>
          <w:rFonts w:ascii="Times New Roman" w:cs="Times New Roman" w:eastAsia="Times New Roman" w:hAnsi="Times New Roman"/>
          <w:sz w:val="19"/>
          <w:szCs w:val="19"/>
          <w:color w:val="000000"/>
        </w:rPr>
        <w:t>. (a) The Borrower has implemented and maintains in effect policies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procedures for compliance by the Borrower, its Subsidiaries and their respective directors, officers and employees with Anti-Corruption Laws</w:t>
      </w:r>
    </w:p>
    <w:p>
      <w:pPr>
        <w:spacing w:after="0" w:line="213" w:lineRule="auto"/>
        <w:rPr>
          <w:sz w:val="20"/>
          <w:szCs w:val="20"/>
          <w:color w:val="auto"/>
        </w:rPr>
      </w:pPr>
      <w:r>
        <w:rPr>
          <w:rFonts w:ascii="Times New Roman" w:cs="Times New Roman" w:eastAsia="Times New Roman" w:hAnsi="Times New Roman"/>
          <w:sz w:val="19"/>
          <w:szCs w:val="19"/>
          <w:color w:val="auto"/>
        </w:rPr>
        <w:t>and applicable Sanctions. The Borrower and its Subsidiaries and, to the knowledge of the Borrower and its Subsidiaries, their respective directors,</w:t>
      </w:r>
    </w:p>
    <w:p>
      <w:pPr>
        <w:spacing w:after="0" w:line="205" w:lineRule="auto"/>
        <w:rPr>
          <w:sz w:val="20"/>
          <w:szCs w:val="20"/>
          <w:color w:val="auto"/>
        </w:rPr>
      </w:pPr>
      <w:r>
        <w:rPr>
          <w:rFonts w:ascii="Times New Roman" w:cs="Times New Roman" w:eastAsia="Times New Roman" w:hAnsi="Times New Roman"/>
          <w:sz w:val="19"/>
          <w:szCs w:val="19"/>
          <w:color w:val="auto"/>
        </w:rPr>
        <w:t>officers, employees, agents and affiliates, are in compliance in all material respects with Anti-Corruption Laws and applicable Sanctions. None of the Borrower, any Subsidiary or, to the knowledge of the Borrower or such Subsidiary, any of their respective directors, officers, employees, agents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affiliates is a Sanctioned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lxxiii</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18" w:lineRule="exact"/>
        <w:rPr>
          <w:sz w:val="20"/>
          <w:szCs w:val="20"/>
          <w:color w:val="auto"/>
        </w:rPr>
      </w:pPr>
    </w:p>
    <w:p>
      <w:pPr>
        <w:ind w:left="1860" w:hanging="619"/>
        <w:spacing w:after="0"/>
        <w:tabs>
          <w:tab w:leader="none" w:pos="1860" w:val="left"/>
        </w:tabs>
        <w:numPr>
          <w:ilvl w:val="0"/>
          <w:numId w:val="1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Borrowing or Letter of Credit, use of proceeds or the Transactions will violate any Anti-Corruption Law or applicable</w:t>
      </w:r>
    </w:p>
    <w:p>
      <w:pPr>
        <w:spacing w:after="0"/>
        <w:rPr>
          <w:sz w:val="20"/>
          <w:szCs w:val="20"/>
          <w:color w:val="auto"/>
        </w:rPr>
      </w:pPr>
      <w:r>
        <w:rPr>
          <w:rFonts w:ascii="Times New Roman" w:cs="Times New Roman" w:eastAsia="Times New Roman" w:hAnsi="Times New Roman"/>
          <w:sz w:val="19"/>
          <w:szCs w:val="19"/>
          <w:color w:val="auto"/>
        </w:rPr>
        <w:t>Sanctions.</w:t>
      </w:r>
    </w:p>
    <w:p>
      <w:pPr>
        <w:spacing w:after="0" w:line="161"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3.15.</w:t>
      </w:r>
      <w:r>
        <w:rPr>
          <w:sz w:val="20"/>
          <w:szCs w:val="20"/>
          <w:color w:val="auto"/>
        </w:rPr>
        <w:tab/>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The Borrower is not an Affected Financial Institution.</w:t>
      </w:r>
    </w:p>
    <w:p>
      <w:pPr>
        <w:spacing w:after="0" w:line="164" w:lineRule="exact"/>
        <w:rPr>
          <w:sz w:val="20"/>
          <w:szCs w:val="20"/>
          <w:color w:val="auto"/>
        </w:rPr>
      </w:pPr>
    </w:p>
    <w:p>
      <w:pPr>
        <w:ind w:firstLine="1238"/>
        <w:spacing w:after="0" w:line="245" w:lineRule="auto"/>
        <w:rPr>
          <w:sz w:val="20"/>
          <w:szCs w:val="20"/>
          <w:color w:val="auto"/>
        </w:rPr>
      </w:pPr>
      <w:r>
        <w:rPr>
          <w:rFonts w:ascii="Times New Roman" w:cs="Times New Roman" w:eastAsia="Times New Roman" w:hAnsi="Times New Roman"/>
          <w:sz w:val="19"/>
          <w:szCs w:val="19"/>
          <w:b w:val="1"/>
          <w:bCs w:val="1"/>
          <w:u w:val="single" w:color="auto"/>
          <w:color w:val="0000FF"/>
        </w:rPr>
        <w:t>SECTION 3.16. Outbound Investment Rules. Neither the Borrower nor any of its Subsidiaries is a ‘covered foreign person’ as that term is used in the Outbound Investment Rules.</w:t>
      </w: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010000"/>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Conditions</w:t>
      </w:r>
    </w:p>
    <w:p>
      <w:pPr>
        <w:spacing w:after="0" w:line="87"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19"/>
          <w:szCs w:val="19"/>
          <w:color w:val="010000"/>
        </w:rPr>
        <w:t xml:space="preserve">SECTION 4.01. </w:t>
      </w:r>
      <w:r>
        <w:rPr>
          <w:rFonts w:ascii="Times New Roman" w:cs="Times New Roman" w:eastAsia="Times New Roman" w:hAnsi="Times New Roman"/>
          <w:sz w:val="19"/>
          <w:szCs w:val="19"/>
          <w:b w:val="1"/>
          <w:bCs w:val="1"/>
          <w:u w:val="single" w:color="auto"/>
          <w:color w:val="0000FF"/>
        </w:rPr>
        <w:t>Amendment No. 3</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Effective Date</w:t>
      </w:r>
      <w:r>
        <w:rPr>
          <w:rFonts w:ascii="Times New Roman" w:cs="Times New Roman" w:eastAsia="Times New Roman" w:hAnsi="Times New Roman"/>
          <w:sz w:val="19"/>
          <w:szCs w:val="19"/>
          <w:b w:val="1"/>
          <w:bCs w:val="1"/>
          <w:u w:val="single" w:color="auto"/>
          <w:color w:val="0000FF"/>
        </w:rPr>
        <w:t>. The conditions to the Amendment No. 3 Effective Date are as set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b w:val="1"/>
          <w:bCs w:val="1"/>
          <w:u w:val="single" w:color="auto"/>
          <w:color w:val="0000FF"/>
        </w:rPr>
        <w:t>forth in Amendment No. 3. The Administrative Agent shall notify the Borrower and the Lenders of the Amendment No. 3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0000FF"/>
        </w:rPr>
        <w:t>and such notice shall be conclusive and binding.</w:t>
      </w:r>
    </w:p>
    <w:p>
      <w:pPr>
        <w:spacing w:after="0" w:line="170" w:lineRule="exact"/>
        <w:rPr>
          <w:sz w:val="20"/>
          <w:szCs w:val="20"/>
          <w:color w:val="auto"/>
        </w:rPr>
      </w:pPr>
    </w:p>
    <w:p>
      <w:pPr>
        <w:ind w:firstLine="1241"/>
        <w:spacing w:after="0" w:line="273" w:lineRule="auto"/>
        <w:tabs>
          <w:tab w:leader="none" w:pos="1345" w:val="left"/>
        </w:tabs>
        <w:numPr>
          <w:ilvl w:val="0"/>
          <w:numId w:val="125"/>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60" w:lineRule="exact"/>
        <w:rPr>
          <w:sz w:val="20"/>
          <w:szCs w:val="20"/>
          <w:color w:val="auto"/>
        </w:rPr>
      </w:pPr>
    </w:p>
    <w:p>
      <w:pPr>
        <w:jc w:val="both"/>
        <w:ind w:left="620" w:firstLine="621"/>
        <w:spacing w:after="0" w:line="256" w:lineRule="auto"/>
        <w:tabs>
          <w:tab w:leader="none" w:pos="1515" w:val="left"/>
        </w:tabs>
        <w:numPr>
          <w:ilvl w:val="0"/>
          <w:numId w:val="126"/>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 xml:space="preserve">The Administrative Agent (or its counsel) shall have received (i) from each party hereto either (A) a counterpart of this Agreement signed on behalf of such party or (B) written evidence (which may include telecopy or electronic transmission of a signed signature page of this Agreement) that such party has signed a counterpart of this Agreement and (ii) duly executed copies of the Loan Documents and such other legal opinions, certificates, documents, instruments and agreements described in the list of closing documents attached as </w:t>
      </w:r>
      <w:r>
        <w:rPr>
          <w:rFonts w:ascii="Times New Roman" w:cs="Times New Roman" w:eastAsia="Times New Roman" w:hAnsi="Times New Roman"/>
          <w:sz w:val="19"/>
          <w:szCs w:val="19"/>
          <w:b w:val="1"/>
          <w:bCs w:val="1"/>
          <w:u w:val="single" w:color="auto"/>
          <w:color w:val="FF0000"/>
          <w:strike w:val="1"/>
        </w:rPr>
        <w:t>Exhibit D</w:t>
      </w:r>
      <w:r>
        <w:rPr>
          <w:rFonts w:ascii="Times New Roman" w:cs="Times New Roman" w:eastAsia="Times New Roman" w:hAnsi="Times New Roman"/>
          <w:sz w:val="19"/>
          <w:szCs w:val="19"/>
          <w:b w:val="1"/>
          <w:bCs w:val="1"/>
          <w:color w:val="FF0000"/>
          <w:strike w:val="1"/>
        </w:rPr>
        <w:t>.</w:t>
      </w:r>
    </w:p>
    <w:p>
      <w:pPr>
        <w:spacing w:after="0" w:line="175" w:lineRule="exact"/>
        <w:rPr>
          <w:rFonts w:ascii="Times New Roman" w:cs="Times New Roman" w:eastAsia="Times New Roman" w:hAnsi="Times New Roman"/>
          <w:sz w:val="19"/>
          <w:szCs w:val="19"/>
          <w:b w:val="1"/>
          <w:bCs w:val="1"/>
          <w:color w:val="FF0000"/>
          <w:strike w:val="1"/>
        </w:rPr>
      </w:pPr>
    </w:p>
    <w:p>
      <w:pPr>
        <w:jc w:val="both"/>
        <w:ind w:left="620" w:firstLine="621"/>
        <w:spacing w:after="0" w:line="256" w:lineRule="auto"/>
        <w:tabs>
          <w:tab w:leader="none" w:pos="1519" w:val="left"/>
        </w:tabs>
        <w:numPr>
          <w:ilvl w:val="0"/>
          <w:numId w:val="126"/>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 xml:space="preserve">The Administrative Agent shall have received a customary written opinion (addressed to </w:t>
      </w:r>
      <w:r>
        <w:rPr>
          <w:rFonts w:ascii="Times New Roman" w:cs="Times New Roman" w:eastAsia="Times New Roman" w:hAnsi="Times New Roman"/>
          <w:sz w:val="19"/>
          <w:szCs w:val="19"/>
          <w:color w:val="008000"/>
          <w:strike w:val="1"/>
        </w:rPr>
        <w:t>the Administrative Agent and the</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color w:val="008000"/>
          <w:strike w:val="1"/>
        </w:rPr>
        <w:t xml:space="preserve">Lenders and </w:t>
      </w:r>
      <w:r>
        <w:rPr>
          <w:rFonts w:ascii="Times New Roman" w:cs="Times New Roman" w:eastAsia="Times New Roman" w:hAnsi="Times New Roman"/>
          <w:sz w:val="19"/>
          <w:szCs w:val="19"/>
          <w:b w:val="1"/>
          <w:bCs w:val="1"/>
          <w:color w:val="FF0000"/>
          <w:strike w:val="1"/>
        </w:rPr>
        <w:t>dated the Effective Date) of Willkie Farr &amp; Gallagher LLP, counsel for the Borrower, covering customary matters</w:t>
      </w:r>
      <w:r>
        <w:rPr>
          <w:rFonts w:ascii="Times New Roman" w:cs="Times New Roman" w:eastAsia="Times New Roman" w:hAnsi="Times New Roman"/>
          <w:sz w:val="19"/>
          <w:szCs w:val="19"/>
          <w:color w:val="008000"/>
          <w:strike w:val="1"/>
        </w:rPr>
        <w:t xml:space="preserve"> </w:t>
      </w:r>
      <w:r>
        <w:rPr>
          <w:rFonts w:ascii="Times New Roman" w:cs="Times New Roman" w:eastAsia="Times New Roman" w:hAnsi="Times New Roman"/>
          <w:sz w:val="19"/>
          <w:szCs w:val="19"/>
          <w:b w:val="1"/>
          <w:bCs w:val="1"/>
          <w:color w:val="FF0000"/>
          <w:strike w:val="1"/>
        </w:rPr>
        <w:t>relating to the Borrower, the Loan Documents and the Transactions. The Borrower hereby requests such counsel to deliver such opinion.</w:t>
      </w:r>
    </w:p>
    <w:p>
      <w:pPr>
        <w:spacing w:after="0" w:line="176" w:lineRule="exact"/>
        <w:rPr>
          <w:rFonts w:ascii="Times New Roman" w:cs="Times New Roman" w:eastAsia="Times New Roman" w:hAnsi="Times New Roman"/>
          <w:sz w:val="19"/>
          <w:szCs w:val="19"/>
          <w:b w:val="1"/>
          <w:bCs w:val="1"/>
          <w:color w:val="FF0000"/>
          <w:strike w:val="1"/>
        </w:rPr>
      </w:pPr>
    </w:p>
    <w:p>
      <w:pPr>
        <w:jc w:val="both"/>
        <w:ind w:left="620" w:firstLine="621"/>
        <w:spacing w:after="0" w:line="261" w:lineRule="auto"/>
        <w:tabs>
          <w:tab w:leader="none" w:pos="1523" w:val="left"/>
        </w:tabs>
        <w:numPr>
          <w:ilvl w:val="0"/>
          <w:numId w:val="126"/>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Lenders shall have received the Audited Financial Statements, the Unaudited Financial Statements and the Pro Forma Financial Statements. For the avoidance of doubt, this condition is deemed satisfied by the public filing of the Audited Financial Statements, the Unaudited Financial Statements, and the Pro Forma Financial Statements by the Borrower and Zynga as of the date hereof.</w:t>
      </w:r>
    </w:p>
    <w:p>
      <w:pPr>
        <w:spacing w:after="0" w:line="158" w:lineRule="exact"/>
        <w:rPr>
          <w:rFonts w:ascii="Times New Roman" w:cs="Times New Roman" w:eastAsia="Times New Roman" w:hAnsi="Times New Roman"/>
          <w:sz w:val="19"/>
          <w:szCs w:val="19"/>
          <w:b w:val="1"/>
          <w:bCs w:val="1"/>
          <w:color w:val="FF0000"/>
          <w:strike w:val="1"/>
        </w:rPr>
      </w:pPr>
    </w:p>
    <w:p>
      <w:pPr>
        <w:jc w:val="both"/>
        <w:ind w:left="620" w:firstLine="621"/>
        <w:spacing w:after="0" w:line="271" w:lineRule="auto"/>
        <w:tabs>
          <w:tab w:leader="none" w:pos="1518" w:val="left"/>
        </w:tabs>
        <w:numPr>
          <w:ilvl w:val="0"/>
          <w:numId w:val="126"/>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 xml:space="preserve">The Administrative Agent shall have received such documents and certificates relating to the organization, existence and good standing of the Borrower, the authorization of the Transactions and any other legal matters relating to the Borrower, the Loan Documents or the Transactions described in the list of closing documents attached as </w:t>
      </w:r>
      <w:r>
        <w:rPr>
          <w:rFonts w:ascii="Times New Roman" w:cs="Times New Roman" w:eastAsia="Times New Roman" w:hAnsi="Times New Roman"/>
          <w:sz w:val="19"/>
          <w:szCs w:val="19"/>
          <w:b w:val="1"/>
          <w:bCs w:val="1"/>
          <w:u w:val="single" w:color="auto"/>
          <w:color w:val="FF0000"/>
          <w:strike w:val="1"/>
        </w:rPr>
        <w:t>Exhibit D</w:t>
      </w:r>
      <w:r>
        <w:rPr>
          <w:rFonts w:ascii="Times New Roman" w:cs="Times New Roman" w:eastAsia="Times New Roman" w:hAnsi="Times New Roman"/>
          <w:sz w:val="19"/>
          <w:szCs w:val="19"/>
          <w:b w:val="1"/>
          <w:bCs w:val="1"/>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lxxiv</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2" w:lineRule="exact"/>
        <w:rPr>
          <w:sz w:val="20"/>
          <w:szCs w:val="20"/>
          <w:color w:val="auto"/>
        </w:rPr>
      </w:pPr>
    </w:p>
    <w:p>
      <w:pPr>
        <w:jc w:val="both"/>
        <w:ind w:left="-500" w:firstLine="621"/>
        <w:spacing w:after="0" w:line="264" w:lineRule="auto"/>
        <w:tabs>
          <w:tab w:leader="none" w:pos="390" w:val="left"/>
        </w:tabs>
        <w:numPr>
          <w:ilvl w:val="0"/>
          <w:numId w:val="127"/>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Administrative Agent shall have received a certificate, dated the Effective Date and signed by the Chief Executive Officer or a Financial Officer of the Borrower, confirming compliance with the conditions set forth in paragraph (i) of this Section 4.01.</w:t>
      </w:r>
    </w:p>
    <w:p>
      <w:pPr>
        <w:spacing w:after="0" w:line="168" w:lineRule="exact"/>
        <w:rPr>
          <w:rFonts w:ascii="Times New Roman" w:cs="Times New Roman" w:eastAsia="Times New Roman" w:hAnsi="Times New Roman"/>
          <w:sz w:val="19"/>
          <w:szCs w:val="19"/>
          <w:b w:val="1"/>
          <w:bCs w:val="1"/>
          <w:color w:val="FF0000"/>
          <w:strike w:val="1"/>
        </w:rPr>
      </w:pPr>
    </w:p>
    <w:p>
      <w:pPr>
        <w:jc w:val="both"/>
        <w:ind w:left="-500" w:firstLine="621"/>
        <w:spacing w:after="0" w:line="261" w:lineRule="auto"/>
        <w:tabs>
          <w:tab w:leader="none" w:pos="390" w:val="left"/>
        </w:tabs>
        <w:numPr>
          <w:ilvl w:val="0"/>
          <w:numId w:val="127"/>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Lenders, the Administrative Agent and the Arrangers shall have received all fees and other amounts due and payable on or prior to the Effective Date, including, to the extent invoiced at least three (3) Business Days prior to the Effective Date, reimbursement or payment of all reasonable out-of-pocket expenses required to be reimbursed or paid by the Borrower hereunder.</w:t>
      </w:r>
    </w:p>
    <w:p>
      <w:pPr>
        <w:spacing w:after="0" w:line="158" w:lineRule="exact"/>
        <w:rPr>
          <w:rFonts w:ascii="Times New Roman" w:cs="Times New Roman" w:eastAsia="Times New Roman" w:hAnsi="Times New Roman"/>
          <w:sz w:val="19"/>
          <w:szCs w:val="19"/>
          <w:b w:val="1"/>
          <w:bCs w:val="1"/>
          <w:color w:val="FF0000"/>
          <w:strike w:val="1"/>
        </w:rPr>
      </w:pPr>
    </w:p>
    <w:p>
      <w:pPr>
        <w:jc w:val="both"/>
        <w:ind w:left="-500" w:firstLine="621"/>
        <w:spacing w:after="0" w:line="271" w:lineRule="auto"/>
        <w:tabs>
          <w:tab w:leader="none" w:pos="432" w:val="left"/>
        </w:tabs>
        <w:numPr>
          <w:ilvl w:val="0"/>
          <w:numId w:val="127"/>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Administrative Agent shall have received customary evidence that the Effective Date Refinancing shall have occurred or, substantially concurrently with the initial Borrowing under the Facilities, shall occur (other than any Effective Date Refinancing to be made on an Existing Zynga Notes Fundamental Change Settlement Date).</w:t>
      </w:r>
    </w:p>
    <w:p>
      <w:pPr>
        <w:spacing w:after="0" w:line="149" w:lineRule="exact"/>
        <w:rPr>
          <w:rFonts w:ascii="Times New Roman" w:cs="Times New Roman" w:eastAsia="Times New Roman" w:hAnsi="Times New Roman"/>
          <w:sz w:val="19"/>
          <w:szCs w:val="19"/>
          <w:b w:val="1"/>
          <w:bCs w:val="1"/>
          <w:color w:val="FF0000"/>
          <w:strike w:val="1"/>
        </w:rPr>
      </w:pPr>
    </w:p>
    <w:p>
      <w:pPr>
        <w:jc w:val="both"/>
        <w:ind w:left="-500" w:firstLine="621"/>
        <w:spacing w:after="0" w:line="253" w:lineRule="auto"/>
        <w:tabs>
          <w:tab w:leader="none" w:pos="401" w:val="left"/>
        </w:tabs>
        <w:numPr>
          <w:ilvl w:val="0"/>
          <w:numId w:val="127"/>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(5)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81" w:lineRule="exact"/>
        <w:rPr>
          <w:rFonts w:ascii="Times New Roman" w:cs="Times New Roman" w:eastAsia="Times New Roman" w:hAnsi="Times New Roman"/>
          <w:sz w:val="19"/>
          <w:szCs w:val="19"/>
          <w:b w:val="1"/>
          <w:bCs w:val="1"/>
          <w:color w:val="FF0000"/>
          <w:strike w:val="1"/>
        </w:rPr>
      </w:pPr>
    </w:p>
    <w:p>
      <w:pPr>
        <w:jc w:val="both"/>
        <w:ind w:left="-500" w:firstLine="621"/>
        <w:spacing w:after="0" w:line="251" w:lineRule="auto"/>
        <w:tabs>
          <w:tab w:leader="none" w:pos="363" w:val="left"/>
        </w:tabs>
        <w:numPr>
          <w:ilvl w:val="0"/>
          <w:numId w:val="127"/>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The Merger Agreement shall not have been altered, amended or otherwise changed or supplemented or any provision waived or consented to in a manner that, when taken as a whole, is materially adverse to the Lenders (including any reduction in the acquisition consideration that does not meet the criteria below) without the prior written consent of the Arrangers (such consent not to be unreasonably withheld, delayed or conditioned); it being understood that (i) any change in the Cash Consideration (as defined in the Merger Agreement as in effect on January 9, 2022 (the “</w:t>
      </w:r>
      <w:r>
        <w:rPr>
          <w:rFonts w:ascii="Times New Roman" w:cs="Times New Roman" w:eastAsia="Times New Roman" w:hAnsi="Times New Roman"/>
          <w:sz w:val="19"/>
          <w:szCs w:val="19"/>
          <w:b w:val="1"/>
          <w:bCs w:val="1"/>
          <w:u w:val="single" w:color="auto"/>
          <w:color w:val="FF0000"/>
          <w:strike w:val="1"/>
        </w:rPr>
        <w:t>Original Signing Date</w:t>
      </w:r>
      <w:r>
        <w:rPr>
          <w:rFonts w:ascii="Times New Roman" w:cs="Times New Roman" w:eastAsia="Times New Roman" w:hAnsi="Times New Roman"/>
          <w:sz w:val="19"/>
          <w:szCs w:val="19"/>
          <w:b w:val="1"/>
          <w:bCs w:val="1"/>
          <w:color w:val="FF0000"/>
          <w:strike w:val="1"/>
        </w:rPr>
        <w:t>”) not exceeding a 10% increase or decrease in the aggregate Cash Consideration to be paid under the Merger Agreement as in effect on the Original Signing Date will be deemed to not be materially adverse to the interests of the Lenders and will not require the prior written consent of the Arrangers, (ii) any increase in the Stock Consideration (as defined in the Merger Agreement as in effect on the Original Signing Date) will be deemed to not be materially adverse to the interests of the Lenders and will not require the prior written consent of the Arrangers, and (iii) any reduction in the Merger Consideration (as defined in the Merger Agreement as in effect on the Original Signing Date) will be deemed to not be materially adverse to the interests of the Lenders and will not require the prior written consent of the Arrangers as long as the ratio of Cash Consideration to Stock Consideration is not increased from the ratio pursuant to the Merger Agreement as in effect on the Original Signing Date as a result of such reduction. The Combination shall be consummated substantially concurrently with the effectiveness of the Commitments in accordance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lxxv</w:t>
      </w:r>
    </w:p>
    <w:p>
      <w:pPr>
        <w:sectPr>
          <w:pgSz w:w="11900" w:h="16838" w:orient="portrait"/>
          <w:cols w:equalWidth="0" w:num="1">
            <w:col w:w="10120"/>
          </w:cols>
          <w:pgMar w:left="1440" w:top="1440" w:right="339" w:bottom="1440" w:gutter="0" w:footer="0" w:header="0"/>
        </w:sectPr>
      </w:pPr>
    </w:p>
    <w:bookmarkStart w:id="195" w:name="page196"/>
    <w:bookmarkEnd w:id="195"/>
    <w:p>
      <w:pPr>
        <w:spacing w:after="0" w:line="132"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9"/>
          <w:szCs w:val="19"/>
          <w:b w:val="1"/>
          <w:bCs w:val="1"/>
          <w:color w:val="FF0000"/>
          <w:strike w:val="1"/>
        </w:rPr>
        <w:t>material respects with the Merger Agreement as such terms may be altered, amended or otherwise changed, supplemented, waived or consented to in accordance with the immediately preceding sentence.</w:t>
      </w:r>
    </w:p>
    <w:p>
      <w:pPr>
        <w:spacing w:after="0" w:line="135" w:lineRule="exact"/>
        <w:rPr>
          <w:sz w:val="20"/>
          <w:szCs w:val="20"/>
          <w:color w:val="auto"/>
        </w:rPr>
      </w:pPr>
    </w:p>
    <w:p>
      <w:pPr>
        <w:jc w:val="both"/>
        <w:ind w:left="620" w:firstLine="621"/>
        <w:spacing w:after="0" w:line="251" w:lineRule="auto"/>
        <w:tabs>
          <w:tab w:leader="none" w:pos="1478" w:val="left"/>
        </w:tabs>
        <w:numPr>
          <w:ilvl w:val="0"/>
          <w:numId w:val="128"/>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 xml:space="preserve">Except (i) as disclosed in the Disclosure Schedules (as defined, for purposes of this clause (l), in the Merger Agreement as in effect on the Original Signing Date); </w:t>
      </w:r>
      <w:r>
        <w:rPr>
          <w:rFonts w:ascii="Times New Roman" w:cs="Times New Roman" w:eastAsia="Times New Roman" w:hAnsi="Times New Roman"/>
          <w:sz w:val="19"/>
          <w:szCs w:val="19"/>
          <w:b w:val="1"/>
          <w:bCs w:val="1"/>
          <w:u w:val="single" w:color="auto"/>
          <w:color w:val="FF0000"/>
          <w:strike w:val="1"/>
        </w:rPr>
        <w:t>provided</w:t>
      </w:r>
      <w:r>
        <w:rPr>
          <w:rFonts w:ascii="Times New Roman" w:cs="Times New Roman" w:eastAsia="Times New Roman" w:hAnsi="Times New Roman"/>
          <w:sz w:val="19"/>
          <w:szCs w:val="19"/>
          <w:b w:val="1"/>
          <w:bCs w:val="1"/>
          <w:color w:val="FF0000"/>
          <w:strike w:val="1"/>
        </w:rPr>
        <w:t xml:space="preserve"> that (x) the mere inclusion of an item in the Disclosure Schedules as an exception to a representation or warranty shall not be deemed an admission by the Target (as defined, for purposes of this clause (j), in the Merger Agreement as in effect on the Original Signing Date) that such item represents a material exception or fact, event or circumstance or that such item would reasonably be likely to result in a Company Material Adverse Effect (as defined, for purposes of this clause (j), in the Merger Agreement as in effect on the Original Signing Date) on the Target and (y) any disclosures made with respect to a section of Article III of the Merger Agreement shall be deemed to qualify (A) any other section of Article III of the Merger Agreement specifically referenced or cross-referenced and (B) other sections of Article III of the Merger Agreement to the extent it is reasonably apparent on its face (notwithstanding the absence of a specific cross-reference) from a reading of the disclosure that such disclosure applies to such other sections or (ii) as disclosed in any Company SEC Reports (as defined, for purposes of this clause (j), in the Merger Agreement as in effect on the Original Signing Date) publicly filed by the Target since December 31, 2018 and prior to the Original Signing Date (other than (x) any information that is contained solely in the “Risk Factors” section of such Company SEC Reports and (y) any forward-looking statements, or other statements that are similarly predictive or forward-looking in nature, in each case, contained in such Company SEC Reports), there has not been any effect, change, event, circumstance, condition, occurrence or development that has or would reasonably be likely to have, either individually or in the aggregate, a Company Material Adverse Effect on the Target.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The Administrative Agent shall notify the Borrower and the Lenders of the Effective Date, and such notice shall be conclusive and binding.</w:t>
      </w:r>
    </w:p>
    <w:p>
      <w:pPr>
        <w:spacing w:after="0" w:line="222"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4.02. </w:t>
      </w:r>
      <w:r>
        <w:rPr>
          <w:rFonts w:ascii="Times New Roman" w:cs="Times New Roman" w:eastAsia="Times New Roman" w:hAnsi="Times New Roman"/>
          <w:sz w:val="19"/>
          <w:szCs w:val="19"/>
          <w:u w:val="single" w:color="auto"/>
          <w:color w:val="000000"/>
        </w:rPr>
        <w:t>Each Credit Event</w:t>
      </w:r>
      <w:r>
        <w:rPr>
          <w:rFonts w:ascii="Times New Roman" w:cs="Times New Roman" w:eastAsia="Times New Roman" w:hAnsi="Times New Roman"/>
          <w:sz w:val="19"/>
          <w:szCs w:val="19"/>
          <w:color w:val="000000"/>
        </w:rPr>
        <w:t>. The obligation of each Lender to make a Loan on the occasion of any Borrowing, and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Issuing Banks to issue, amend, increase, renew or extend (but not reduce or shorten) any Letter of Credit (other than any amendment solely to</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reduce the amount of an outstanding Letter of Credit or to shorten the expiration date of such Letter of Credit), is subject to the satisfaction of the following conditions:</w:t>
      </w:r>
    </w:p>
    <w:p>
      <w:pPr>
        <w:spacing w:after="0" w:line="143" w:lineRule="exact"/>
        <w:rPr>
          <w:sz w:val="20"/>
          <w:szCs w:val="20"/>
          <w:color w:val="auto"/>
        </w:rPr>
      </w:pPr>
    </w:p>
    <w:p>
      <w:pPr>
        <w:jc w:val="both"/>
        <w:ind w:left="620" w:firstLine="621"/>
        <w:spacing w:after="0" w:line="216" w:lineRule="auto"/>
        <w:tabs>
          <w:tab w:leader="none" w:pos="1848" w:val="left"/>
        </w:tabs>
        <w:numPr>
          <w:ilvl w:val="0"/>
          <w:numId w:val="1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representations and warranties of the Borrower set forth in this Agreement (other than, at any time following the </w:t>
      </w:r>
      <w:r>
        <w:rPr>
          <w:rFonts w:ascii="Times New Roman" w:cs="Times New Roman" w:eastAsia="Times New Roman" w:hAnsi="Times New Roman"/>
          <w:sz w:val="19"/>
          <w:szCs w:val="19"/>
          <w:b w:val="1"/>
          <w:bCs w:val="1"/>
          <w:u w:val="single" w:color="auto"/>
          <w:color w:val="0000FF"/>
        </w:rPr>
        <w:t>Amendment No. 3</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Effective Date, the representations and warranties contained in Section 3.04(b) and Section 3.06) shall be true and</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correct in all material respects (except that any representation and warranty that is qualified by materiality or Material Adverse Effect shall be true and correct in all respects) on and as of the date of such Borrowing or the date of such issuance, amendment, increase, renewal or extension of such Letter of Credit, as applicable, except, in each case, to the extent such representation and warranty specifically refer to an earlier date, in which case it shall be true and correct in all material respects (except that any representation and warranty that is qualified by materiality or Material Adverse Effect shall be true and correct in all respects) as of such earlier date.</w:t>
      </w:r>
    </w:p>
    <w:p>
      <w:pPr>
        <w:spacing w:after="0" w:line="157" w:lineRule="exact"/>
        <w:rPr>
          <w:rFonts w:ascii="Times New Roman" w:cs="Times New Roman" w:eastAsia="Times New Roman" w:hAnsi="Times New Roman"/>
          <w:sz w:val="19"/>
          <w:szCs w:val="19"/>
          <w:color w:val="010000"/>
        </w:rPr>
      </w:pPr>
    </w:p>
    <w:p>
      <w:pPr>
        <w:ind w:left="620" w:firstLine="621"/>
        <w:spacing w:after="0" w:line="233" w:lineRule="auto"/>
        <w:tabs>
          <w:tab w:leader="none" w:pos="1846" w:val="left"/>
        </w:tabs>
        <w:numPr>
          <w:ilvl w:val="0"/>
          <w:numId w:val="1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At the time of and immediately after giving effect to such Borrowing or such issuance, amendment, increase, renewal or extension of such Letter of Credit, as applicable, no Default or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lxxvi</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23" w:lineRule="exact"/>
        <w:rPr>
          <w:sz w:val="20"/>
          <w:szCs w:val="20"/>
          <w:color w:val="auto"/>
        </w:rPr>
      </w:pPr>
    </w:p>
    <w:p>
      <w:pPr>
        <w:ind w:left="1860" w:hanging="619"/>
        <w:spacing w:after="0"/>
        <w:tabs>
          <w:tab w:leader="none" w:pos="1860" w:val="left"/>
        </w:tabs>
        <w:numPr>
          <w:ilvl w:val="0"/>
          <w:numId w:val="1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have received a duly completed Borrowing Request.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Each Borrowing and each issuance, amendment, increase, renewal or extension (but not reduction or shortening) of a Letter of Credit shall be deemed to constitute a representation and warranty by the Borrower on the date thereof as to the matters specified in paragraphs (a) and (b) of this Section.</w:t>
      </w:r>
    </w:p>
    <w:p>
      <w:pPr>
        <w:spacing w:after="0" w:line="2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9"/>
          <w:szCs w:val="19"/>
          <w:color w:val="010000"/>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Affirmative Covenants</w:t>
      </w:r>
    </w:p>
    <w:p>
      <w:pPr>
        <w:spacing w:after="0" w:line="104"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or otherwise become subject to cash collateralization or other arrangements reasonably satisfactory to the Administrative Agent, and all LC Disbursements shall have been reimbursed, the Borrower covenants and agrees with the Lenders that:</w:t>
      </w:r>
    </w:p>
    <w:p>
      <w:pPr>
        <w:spacing w:after="0" w:line="148" w:lineRule="exact"/>
        <w:rPr>
          <w:sz w:val="20"/>
          <w:szCs w:val="20"/>
          <w:color w:val="auto"/>
        </w:rPr>
      </w:pPr>
    </w:p>
    <w:p>
      <w:pPr>
        <w:ind w:left="1240"/>
        <w:spacing w:after="0"/>
        <w:tabs>
          <w:tab w:leader="none" w:pos="3060" w:val="left"/>
        </w:tabs>
        <w:rPr>
          <w:sz w:val="20"/>
          <w:szCs w:val="20"/>
          <w:color w:val="auto"/>
        </w:rPr>
      </w:pPr>
      <w:r>
        <w:rPr>
          <w:rFonts w:ascii="Times New Roman" w:cs="Times New Roman" w:eastAsia="Times New Roman" w:hAnsi="Times New Roman"/>
          <w:sz w:val="19"/>
          <w:szCs w:val="19"/>
          <w:color w:val="010000"/>
        </w:rPr>
        <w:t>SECTION 5.01.</w:t>
      </w:r>
      <w:r>
        <w:rPr>
          <w:sz w:val="20"/>
          <w:szCs w:val="20"/>
          <w:color w:val="auto"/>
        </w:rPr>
        <w:tab/>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The Borrower will furnish to the Administrative Agent and</w:t>
      </w:r>
    </w:p>
    <w:p>
      <w:pPr>
        <w:spacing w:after="0"/>
        <w:rPr>
          <w:sz w:val="20"/>
          <w:szCs w:val="20"/>
          <w:color w:val="auto"/>
        </w:rPr>
      </w:pPr>
      <w:r>
        <w:rPr>
          <w:rFonts w:ascii="Times New Roman" w:cs="Times New Roman" w:eastAsia="Times New Roman" w:hAnsi="Times New Roman"/>
          <w:sz w:val="19"/>
          <w:szCs w:val="19"/>
          <w:color w:val="auto"/>
        </w:rPr>
        <w:t>each Lender:</w:t>
      </w:r>
    </w:p>
    <w:p>
      <w:pPr>
        <w:spacing w:after="0" w:line="148" w:lineRule="exact"/>
        <w:rPr>
          <w:sz w:val="20"/>
          <w:szCs w:val="20"/>
          <w:color w:val="auto"/>
        </w:rPr>
      </w:pPr>
    </w:p>
    <w:p>
      <w:pPr>
        <w:jc w:val="both"/>
        <w:ind w:left="620" w:firstLine="621"/>
        <w:spacing w:after="0" w:line="215" w:lineRule="auto"/>
        <w:tabs>
          <w:tab w:leader="none" w:pos="1848" w:val="left"/>
        </w:tabs>
        <w:numPr>
          <w:ilvl w:val="1"/>
          <w:numId w:val="13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and without any qualification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61"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46"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forty-five (45) days after the end of each of the first three fiscal quarters of each fiscal year of the Borrower (or, if earlier, by the date that the Quarterly Report on Form 10-Q of the Borrower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55" w:lineRule="exact"/>
        <w:rPr>
          <w:rFonts w:ascii="Times New Roman" w:cs="Times New Roman" w:eastAsia="Times New Roman" w:hAnsi="Times New Roman"/>
          <w:sz w:val="18"/>
          <w:szCs w:val="18"/>
          <w:color w:val="010000"/>
        </w:rPr>
      </w:pPr>
    </w:p>
    <w:p>
      <w:pPr>
        <w:jc w:val="both"/>
        <w:ind w:left="620" w:firstLine="621"/>
        <w:spacing w:after="0" w:line="226" w:lineRule="auto"/>
        <w:tabs>
          <w:tab w:leader="none" w:pos="1848"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concurrently with any delivery of financial statements under clause (a) or (b) above, a Compliance Certificate of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 6.05 and (iii) setting forth reasonably detailed calculations demonstrating the Leverage Ratio for the period of four</w:t>
      </w:r>
    </w:p>
    <w:p>
      <w:pPr>
        <w:ind w:left="620" w:firstLine="2"/>
        <w:spacing w:after="0" w:line="222" w:lineRule="auto"/>
        <w:tabs>
          <w:tab w:leader="none" w:pos="89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consecutive fiscal quarters ending with the end of the applicable fiscal quarter or fiscal year for which such financial statements are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lxxvii</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23" w:lineRule="exact"/>
        <w:rPr>
          <w:sz w:val="20"/>
          <w:szCs w:val="20"/>
          <w:color w:val="auto"/>
        </w:rPr>
      </w:pPr>
    </w:p>
    <w:p>
      <w:pPr>
        <w:jc w:val="both"/>
        <w:ind w:left="620" w:firstLine="621"/>
        <w:spacing w:after="0" w:line="231" w:lineRule="auto"/>
        <w:tabs>
          <w:tab w:leader="none" w:pos="1846"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after the same become publicly available, copies of all periodic and other reports and proxy statements filed by the Borrower or any Subsidiary with the SEC, or any Governmental Authority succeeding to any or all of the functions of said Commission (excluding any filing filed confidentially with the SEC or any analogous Governmental Authority in any relevant jurisdiction); and</w:t>
      </w:r>
    </w:p>
    <w:p>
      <w:pPr>
        <w:spacing w:after="0" w:line="142" w:lineRule="exact"/>
        <w:rPr>
          <w:rFonts w:ascii="Times New Roman" w:cs="Times New Roman" w:eastAsia="Times New Roman" w:hAnsi="Times New Roman"/>
          <w:sz w:val="19"/>
          <w:szCs w:val="19"/>
          <w:color w:val="010000"/>
        </w:rPr>
      </w:pPr>
    </w:p>
    <w:p>
      <w:pPr>
        <w:jc w:val="both"/>
        <w:ind w:left="620" w:firstLine="621"/>
        <w:spacing w:after="0" w:line="215" w:lineRule="auto"/>
        <w:tabs>
          <w:tab w:leader="none" w:pos="1848"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following any request therefor, (i) such other information regarding the operations, business affairs and financial condition of the Borrower or any Subsidiary as the Administrative Agent or any Lender may reasonably request acting in good faith (other than any such information that (X) constitutes non-financial trade secrets or non-financial proprietary information, (Y) in respect of which disclosure to the Administrative Agent or any Lender (or their respective representatives or contractors) is prohibited by any laws, rules, regulations or orders or any Governmental Authority or any agreement binding on the Borrower or its Subsidiaries or (Z) that is subject to attorney-client or similar privilege or constitutes attorney work product)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62"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clauses (a), (b) and (d) of this Section 5.01 may be delivered electronically and if so delivered, shall be deemed to have been delivered on the date on which such documents are filed for public availability on the SEC’s Electronic Data Gathering and Retrieval System;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upon request, provide to the Administrative Agent by electronic mail electronic versions (i.e., soft copies, or links to access such documents) of such documents.</w:t>
      </w:r>
    </w:p>
    <w:p>
      <w:pPr>
        <w:spacing w:after="0" w:line="166" w:lineRule="exact"/>
        <w:rPr>
          <w:sz w:val="20"/>
          <w:szCs w:val="20"/>
          <w:color w:val="auto"/>
        </w:rPr>
      </w:pPr>
    </w:p>
    <w:p>
      <w:pPr>
        <w:ind w:firstLine="1238"/>
        <w:spacing w:after="0"/>
        <w:rPr>
          <w:sz w:val="20"/>
          <w:szCs w:val="20"/>
          <w:color w:val="auto"/>
        </w:rPr>
      </w:pPr>
      <w:r>
        <w:rPr>
          <w:rFonts w:ascii="Times New Roman" w:cs="Times New Roman" w:eastAsia="Times New Roman" w:hAnsi="Times New Roman"/>
          <w:sz w:val="19"/>
          <w:szCs w:val="19"/>
          <w:color w:val="010000"/>
        </w:rPr>
        <w:t xml:space="preserve">SECTION 5.02. </w:t>
      </w:r>
      <w:r>
        <w:rPr>
          <w:rFonts w:ascii="Times New Roman" w:cs="Times New Roman" w:eastAsia="Times New Roman" w:hAnsi="Times New Roman"/>
          <w:sz w:val="19"/>
          <w:szCs w:val="19"/>
          <w:u w:val="single" w:color="auto"/>
          <w:color w:val="000000"/>
        </w:rPr>
        <w:t>Notices of Material Events</w:t>
      </w:r>
      <w:r>
        <w:rPr>
          <w:rFonts w:ascii="Times New Roman" w:cs="Times New Roman" w:eastAsia="Times New Roman" w:hAnsi="Times New Roman"/>
          <w:sz w:val="19"/>
          <w:szCs w:val="19"/>
          <w:color w:val="000000"/>
        </w:rPr>
        <w:t>. The Borrower will furnish to the Administrative Agent and each Lender prompt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written notice of the following:</w:t>
      </w:r>
    </w:p>
    <w:p>
      <w:pPr>
        <w:spacing w:after="0" w:line="143" w:lineRule="exact"/>
        <w:rPr>
          <w:sz w:val="20"/>
          <w:szCs w:val="20"/>
          <w:color w:val="auto"/>
        </w:rPr>
      </w:pPr>
    </w:p>
    <w:p>
      <w:pPr>
        <w:ind w:left="1860" w:hanging="619"/>
        <w:spacing w:after="0"/>
        <w:tabs>
          <w:tab w:leader="none" w:pos="186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occurrence of any Default;</w:t>
      </w:r>
    </w:p>
    <w:p>
      <w:pPr>
        <w:spacing w:after="0" w:line="181" w:lineRule="exact"/>
        <w:rPr>
          <w:rFonts w:ascii="Times New Roman" w:cs="Times New Roman" w:eastAsia="Times New Roman" w:hAnsi="Times New Roman"/>
          <w:sz w:val="19"/>
          <w:szCs w:val="19"/>
          <w:color w:val="010000"/>
        </w:rPr>
      </w:pPr>
    </w:p>
    <w:p>
      <w:pPr>
        <w:ind w:firstLine="1241"/>
        <w:spacing w:after="0" w:line="233" w:lineRule="auto"/>
        <w:tabs>
          <w:tab w:leader="none" w:pos="1844"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filing or commencement of any action, suit or proceeding by or before any arbitrator or Governmental Authority against the Borrower or any Subsidiary thereof that could reasonably be expected to result in a Material Adverse Effect;</w:t>
      </w:r>
    </w:p>
    <w:p>
      <w:pPr>
        <w:spacing w:after="0" w:line="155" w:lineRule="exact"/>
        <w:rPr>
          <w:rFonts w:ascii="Times New Roman" w:cs="Times New Roman" w:eastAsia="Times New Roman" w:hAnsi="Times New Roman"/>
          <w:sz w:val="19"/>
          <w:szCs w:val="19"/>
          <w:color w:val="010000"/>
        </w:rPr>
      </w:pPr>
    </w:p>
    <w:p>
      <w:pPr>
        <w:ind w:firstLine="1241"/>
        <w:spacing w:after="0"/>
        <w:tabs>
          <w:tab w:leader="none" w:pos="1847"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occurrence of any ERISA Event that, alone or together with any other ERISA Events that have occurred, could reasonably be expected to result in a Material Adverse Effect; and</w:t>
      </w:r>
    </w:p>
    <w:p>
      <w:pPr>
        <w:spacing w:after="0" w:line="143"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development that results in, or could reasonably be expected to result in, a Material Adverse Effect.</w:t>
      </w:r>
    </w:p>
    <w:p>
      <w:pPr>
        <w:spacing w:after="0" w:line="19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29"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5.03. </w:t>
      </w:r>
      <w:r>
        <w:rPr>
          <w:rFonts w:ascii="Times New Roman" w:cs="Times New Roman" w:eastAsia="Times New Roman" w:hAnsi="Times New Roman"/>
          <w:sz w:val="19"/>
          <w:szCs w:val="19"/>
          <w:u w:val="single" w:color="auto"/>
          <w:color w:val="000000"/>
        </w:rPr>
        <w:t>Existence; Conduct of Business</w:t>
      </w:r>
      <w:r>
        <w:rPr>
          <w:rFonts w:ascii="Times New Roman" w:cs="Times New Roman" w:eastAsia="Times New Roman" w:hAnsi="Times New Roman"/>
          <w:sz w:val="19"/>
          <w:szCs w:val="19"/>
          <w:color w:val="000000"/>
        </w:rPr>
        <w:t>. The Borrower will, and will cause each of its Subsidiaries to, do or cause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to be done all things necessary to (i) preserve, renew and keep in full force and effect its legal existence and the rights, qualifications, licenses,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permits, privileges, franchises, governmental authorizations and intellectual property rights material to the conduct of its business and (ii) maintain all requisite authority to conduct its business in each jurisdiction in which its business is conducted, except (other than in the case of legal existence</w:t>
      </w:r>
    </w:p>
    <w:p>
      <w:pPr>
        <w:spacing w:after="0" w:line="213" w:lineRule="auto"/>
        <w:rPr>
          <w:sz w:val="20"/>
          <w:szCs w:val="20"/>
          <w:color w:val="auto"/>
        </w:rPr>
      </w:pPr>
      <w:r>
        <w:rPr>
          <w:rFonts w:ascii="Times New Roman" w:cs="Times New Roman" w:eastAsia="Times New Roman" w:hAnsi="Times New Roman"/>
          <w:sz w:val="19"/>
          <w:szCs w:val="19"/>
          <w:color w:val="auto"/>
        </w:rPr>
        <w:t>with respect to the Borrower), in the case of each of clauses (i) and (ii), where the failure to do so could not reasonably be expected to result in a</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any merger, consolidation, liquidation or dissolution permitted under Section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lxxviii</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23"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5.04. </w:t>
      </w:r>
      <w:r>
        <w:rPr>
          <w:rFonts w:ascii="Times New Roman" w:cs="Times New Roman" w:eastAsia="Times New Roman" w:hAnsi="Times New Roman"/>
          <w:sz w:val="19"/>
          <w:szCs w:val="19"/>
          <w:u w:val="single" w:color="auto"/>
          <w:color w:val="000000"/>
        </w:rPr>
        <w:t>Payment of Obligations</w:t>
      </w:r>
      <w:r>
        <w:rPr>
          <w:rFonts w:ascii="Times New Roman" w:cs="Times New Roman" w:eastAsia="Times New Roman" w:hAnsi="Times New Roman"/>
          <w:sz w:val="19"/>
          <w:szCs w:val="19"/>
          <w:color w:val="000000"/>
        </w:rPr>
        <w:t>. The Borrower will, and will cause each of its Subsidiaries to, pay its obligations,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including Tax liabilities, that, if not paid, could reasonably be expected to result in a Material Adverse Effect before the same shall become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payment pending such contest, individually or in the aggregate, could not reasonably be expected to result in a Material Adverse Effect.</w:t>
      </w:r>
    </w:p>
    <w:p>
      <w:pPr>
        <w:spacing w:after="0" w:line="143" w:lineRule="exact"/>
        <w:rPr>
          <w:sz w:val="20"/>
          <w:szCs w:val="20"/>
          <w:color w:val="auto"/>
        </w:rPr>
      </w:pPr>
    </w:p>
    <w:p>
      <w:pPr>
        <w:ind w:left="1240"/>
        <w:spacing w:after="0"/>
        <w:tabs>
          <w:tab w:leader="none" w:pos="3100" w:val="left"/>
        </w:tabs>
        <w:rPr>
          <w:sz w:val="20"/>
          <w:szCs w:val="20"/>
          <w:color w:val="auto"/>
        </w:rPr>
      </w:pPr>
      <w:r>
        <w:rPr>
          <w:rFonts w:ascii="Times New Roman" w:cs="Times New Roman" w:eastAsia="Times New Roman" w:hAnsi="Times New Roman"/>
          <w:sz w:val="19"/>
          <w:szCs w:val="19"/>
          <w:color w:val="010000"/>
        </w:rPr>
        <w:t>SECTION 5.05.</w:t>
      </w:r>
      <w:r>
        <w:rPr>
          <w:sz w:val="20"/>
          <w:szCs w:val="20"/>
          <w:color w:val="auto"/>
        </w:rPr>
        <w:tab/>
      </w:r>
      <w:r>
        <w:rPr>
          <w:rFonts w:ascii="Times New Roman" w:cs="Times New Roman" w:eastAsia="Times New Roman" w:hAnsi="Times New Roman"/>
          <w:sz w:val="19"/>
          <w:szCs w:val="19"/>
          <w:u w:val="single" w:color="auto"/>
          <w:color w:val="auto"/>
        </w:rPr>
        <w:t>Maintenance of Properties; Insurance</w:t>
      </w:r>
      <w:r>
        <w:rPr>
          <w:rFonts w:ascii="Times New Roman" w:cs="Times New Roman" w:eastAsia="Times New Roman" w:hAnsi="Times New Roman"/>
          <w:sz w:val="19"/>
          <w:szCs w:val="19"/>
          <w:color w:val="auto"/>
        </w:rPr>
        <w:t>. The Borrower will, and will cause each of its Subsidiaries to,</w:t>
      </w:r>
    </w:p>
    <w:p>
      <w:pPr>
        <w:jc w:val="both"/>
        <w:ind w:firstLine="3"/>
        <w:spacing w:after="0" w:line="217" w:lineRule="auto"/>
        <w:tabs>
          <w:tab w:leader="none" w:pos="273"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keep and maintain all property material to the conduct of its business in good working order and condition, ordinary wear and tear excepted, except where the failure to do so could not reasonably be expected to result in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57"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5.06. </w:t>
      </w:r>
      <w:r>
        <w:rPr>
          <w:rFonts w:ascii="Times New Roman" w:cs="Times New Roman" w:eastAsia="Times New Roman" w:hAnsi="Times New Roman"/>
          <w:sz w:val="19"/>
          <w:szCs w:val="19"/>
          <w:u w:val="single" w:color="auto"/>
          <w:color w:val="000000"/>
        </w:rPr>
        <w:t>Books and Records; Inspection Rights</w:t>
      </w:r>
      <w:r>
        <w:rPr>
          <w:rFonts w:ascii="Times New Roman" w:cs="Times New Roman" w:eastAsia="Times New Roman" w:hAnsi="Times New Roman"/>
          <w:sz w:val="19"/>
          <w:szCs w:val="19"/>
          <w:color w:val="000000"/>
        </w:rPr>
        <w:t>. The Borrower will, and will cause each of its Subsidiaries to, keep</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proper books of record and account in which full, true and correct entries are made in all material respects and sufficient to prepare financial</w:t>
      </w:r>
    </w:p>
    <w:p>
      <w:pPr>
        <w:spacing w:after="0" w:line="213" w:lineRule="auto"/>
        <w:rPr>
          <w:sz w:val="20"/>
          <w:szCs w:val="20"/>
          <w:color w:val="auto"/>
        </w:rPr>
      </w:pPr>
      <w:r>
        <w:rPr>
          <w:rFonts w:ascii="Times New Roman" w:cs="Times New Roman" w:eastAsia="Times New Roman" w:hAnsi="Times New Roman"/>
          <w:sz w:val="19"/>
          <w:szCs w:val="19"/>
          <w:color w:val="auto"/>
        </w:rPr>
        <w:t>statements in accordance with GAAP. The Borrower will, and will cause each of its Subsidiaries to, permit any representatives designated by the</w:t>
      </w:r>
    </w:p>
    <w:p>
      <w:pPr>
        <w:spacing w:after="0" w:line="216" w:lineRule="auto"/>
        <w:rPr>
          <w:sz w:val="20"/>
          <w:szCs w:val="20"/>
          <w:color w:val="auto"/>
        </w:rPr>
      </w:pPr>
      <w:r>
        <w:rPr>
          <w:rFonts w:ascii="Times New Roman" w:cs="Times New Roman" w:eastAsia="Times New Roman" w:hAnsi="Times New Roman"/>
          <w:sz w:val="18"/>
          <w:szCs w:val="18"/>
          <w:color w:val="auto"/>
        </w:rPr>
        <w:t>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w:t>
      </w:r>
    </w:p>
    <w:p>
      <w:pPr>
        <w:spacing w:after="0" w:line="213" w:lineRule="auto"/>
        <w:rPr>
          <w:sz w:val="20"/>
          <w:szCs w:val="20"/>
          <w:color w:val="auto"/>
        </w:rPr>
      </w:pPr>
      <w:r>
        <w:rPr>
          <w:rFonts w:ascii="Times New Roman" w:cs="Times New Roman" w:eastAsia="Times New Roman" w:hAnsi="Times New Roman"/>
          <w:sz w:val="19"/>
          <w:szCs w:val="19"/>
          <w:color w:val="auto"/>
        </w:rPr>
        <w:t>requested (but not more than once per calendar year unless an Event of Default exists). The Borrower acknowledges that the Administrative Agent,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after exercising its rights of inspection, may prepare and distribute to the Lenders certain reports pertaining to the Borrower and its Subsidiaries’ assets for internal use by the Administrative Agent and the Lenders. Notwithstanding the foregoing, neither the Borrower nor its Subsidiaries shall</w:t>
      </w:r>
    </w:p>
    <w:p>
      <w:pPr>
        <w:spacing w:after="0" w:line="224" w:lineRule="auto"/>
        <w:rPr>
          <w:sz w:val="20"/>
          <w:szCs w:val="20"/>
          <w:color w:val="auto"/>
        </w:rPr>
      </w:pPr>
      <w:r>
        <w:rPr>
          <w:rFonts w:ascii="Times New Roman" w:cs="Times New Roman" w:eastAsia="Times New Roman" w:hAnsi="Times New Roman"/>
          <w:sz w:val="18"/>
          <w:szCs w:val="18"/>
          <w:color w:val="auto"/>
        </w:rPr>
        <w:t>be required to disclose or discuss, or permit the inspection, examination or making of extracts of any document, book, record or other matter that (i)</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constitutes non-financial trade secrets or non-financial proprietary information (which, for the avoidance of doubt, shall include all development studios of the Borrower and its Subsidiaries), (ii) in respect of which disclosure to the Administrative Agent, such Lender or their representatives is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then prohibited by applicable law or any agreement binding on Borrower or its Subsidiaries or (iii) is protected from disclosure by the attorney-client privilege or the attorney work product privilege.</w:t>
      </w:r>
    </w:p>
    <w:p>
      <w:pPr>
        <w:spacing w:after="0" w:line="143"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5.07. </w:t>
      </w:r>
      <w:r>
        <w:rPr>
          <w:rFonts w:ascii="Times New Roman" w:cs="Times New Roman" w:eastAsia="Times New Roman" w:hAnsi="Times New Roman"/>
          <w:sz w:val="19"/>
          <w:szCs w:val="19"/>
          <w:u w:val="single" w:color="auto"/>
          <w:color w:val="000000"/>
        </w:rPr>
        <w:t>Compliance with Laws</w:t>
      </w:r>
      <w:r>
        <w:rPr>
          <w:rFonts w:ascii="Times New Roman" w:cs="Times New Roman" w:eastAsia="Times New Roman" w:hAnsi="Times New Roman"/>
          <w:sz w:val="19"/>
          <w:szCs w:val="19"/>
          <w:color w:val="000000"/>
        </w:rPr>
        <w:t>. The Borrower will, and will cause each of its Subsidiaries to, comply with all laws,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rules, regulations and orders of any Governmental Authority applicable to it or its property (including without limitation Environmental Laws),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except where the failure to do so, individually or in the aggregate, could not reasonably be expected to result in a Material Adverse Effect. The Borrower will maintain in effect and implement policies and procedures for compliance by the Borrower, its Subsidiaries and their respective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directors, officers, employees and agents with Anti-Corruption Laws and applicable Sanctions.</w:t>
      </w:r>
    </w:p>
    <w:p>
      <w:pPr>
        <w:spacing w:after="0" w:line="16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5.08. </w:t>
      </w:r>
      <w:r>
        <w:rPr>
          <w:rFonts w:ascii="Times New Roman" w:cs="Times New Roman" w:eastAsia="Times New Roman" w:hAnsi="Times New Roman"/>
          <w:sz w:val="19"/>
          <w:szCs w:val="19"/>
          <w:u w:val="single" w:color="auto"/>
          <w:color w:val="000000"/>
        </w:rPr>
        <w:t>Use of Proceeds</w:t>
      </w:r>
      <w:r>
        <w:rPr>
          <w:rFonts w:ascii="Times New Roman" w:cs="Times New Roman" w:eastAsia="Times New Roman" w:hAnsi="Times New Roman"/>
          <w:sz w:val="19"/>
          <w:szCs w:val="19"/>
          <w:color w:val="000000"/>
        </w:rPr>
        <w:t>. The proceeds of the Loans will be used for general corporate purposes of the Borrower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its Subsidiaries, including, without limitation, working capital, acquisitions, capital expenditures, any dividend or other distribution, repurchases</w:t>
      </w:r>
    </w:p>
    <w:p>
      <w:pPr>
        <w:spacing w:after="0" w:line="224" w:lineRule="auto"/>
        <w:rPr>
          <w:sz w:val="20"/>
          <w:szCs w:val="20"/>
          <w:color w:val="auto"/>
        </w:rPr>
      </w:pPr>
      <w:r>
        <w:rPr>
          <w:rFonts w:ascii="Times New Roman" w:cs="Times New Roman" w:eastAsia="Times New Roman" w:hAnsi="Times New Roman"/>
          <w:sz w:val="18"/>
          <w:szCs w:val="18"/>
          <w:color w:val="auto"/>
        </w:rPr>
        <w:t>of stock and repayments of Indebtedness, in each case to the extent permitted or not prohibited under this Agreement. No part of the proceeds of any</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Loan will be used, whether directly or indirectly by the Borrower and its Subsidiaries, for any purpose that entails a violation of any of the Regulations of the Federal Reserve Board, including Regulations T, U and X. The Borrower will not request any Borrowing or Letter of Credit, and</w:t>
      </w:r>
    </w:p>
    <w:p>
      <w:pPr>
        <w:spacing w:after="0" w:line="213" w:lineRule="auto"/>
        <w:rPr>
          <w:sz w:val="20"/>
          <w:szCs w:val="20"/>
          <w:color w:val="auto"/>
        </w:rPr>
      </w:pPr>
      <w:r>
        <w:rPr>
          <w:rFonts w:ascii="Times New Roman" w:cs="Times New Roman" w:eastAsia="Times New Roman" w:hAnsi="Times New Roman"/>
          <w:sz w:val="19"/>
          <w:szCs w:val="19"/>
          <w:color w:val="auto"/>
        </w:rPr>
        <w:t>the Borrower shall not use, and shall procure that its Subsidiaries and, to the knowledge of the Borrower or any Subsidiary, their respective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directors, officers and employees, shall not use directly or, to the knowledge of the Borrower or any Subsidiary, indirectly the proceeds of any Borrowing or Letter of Credit (i) in furtherance of an offer, payment, promise to pay, or authorization of the payment or giving of money, or</w:t>
      </w:r>
    </w:p>
    <w:p>
      <w:pPr>
        <w:spacing w:after="0" w:line="224" w:lineRule="auto"/>
        <w:rPr>
          <w:sz w:val="20"/>
          <w:szCs w:val="20"/>
          <w:color w:val="auto"/>
        </w:rPr>
      </w:pPr>
      <w:r>
        <w:rPr>
          <w:rFonts w:ascii="Times New Roman" w:cs="Times New Roman" w:eastAsia="Times New Roman" w:hAnsi="Times New Roman"/>
          <w:sz w:val="18"/>
          <w:szCs w:val="18"/>
          <w:color w:val="auto"/>
        </w:rPr>
        <w:t>anything else of value, to any Person in material violation of any Anti-Corruption Laws, (ii) for the purpose of funding, financing or facilitating any</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activities, business or transaction of or with any Sanctioned Person, or in any Sanctioned Country, to the extent such activities, businesses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lxxix</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2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would be prohibited by Sanctions if conducted by a corporation incorporated in the United States or (iii) in any other manner that would result in the violation of any Sanctions by any Person (including any Person participating in the Loans, whether as Administrative Agent, Lender, Issuing Bank, Arranger, Syndication Agent, underwriter, advisor, investor or otherwise).</w:t>
      </w:r>
    </w:p>
    <w:p>
      <w:pPr>
        <w:spacing w:after="0" w:line="152"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b w:val="1"/>
          <w:bCs w:val="1"/>
          <w:color w:val="FF0000"/>
          <w:strike w:val="1"/>
        </w:rPr>
        <w:t xml:space="preserve">SECTION 5.09. </w:t>
      </w:r>
      <w:r>
        <w:rPr>
          <w:rFonts w:ascii="Times New Roman" w:cs="Times New Roman" w:eastAsia="Times New Roman" w:hAnsi="Times New Roman"/>
          <w:sz w:val="19"/>
          <w:szCs w:val="19"/>
          <w:b w:val="1"/>
          <w:bCs w:val="1"/>
          <w:u w:val="single" w:color="auto"/>
          <w:color w:val="FF0000"/>
          <w:strike w:val="1"/>
        </w:rPr>
        <w:t>Post-Closing Obligations</w:t>
      </w:r>
      <w:r>
        <w:rPr>
          <w:rFonts w:ascii="Times New Roman" w:cs="Times New Roman" w:eastAsia="Times New Roman" w:hAnsi="Times New Roman"/>
          <w:sz w:val="19"/>
          <w:szCs w:val="19"/>
          <w:b w:val="1"/>
          <w:bCs w:val="1"/>
          <w:color w:val="FF0000"/>
          <w:strike w:val="1"/>
        </w:rPr>
        <w:t>. In the event that, on the date that is 90 days following the Effective Date, an aggregate principal amount of Existing Zynga Notes greater than or equal to $250,000,000 remain outstanding, then on or prior to such 90th day, Zynga shall (a) duly execute and deliver to the Administrative Agent a guaranty, in form and substance reasonably satisfactory to the Administrative Agent, guaranteeing the Borrower’s obligations under the Loan Documents, together with such documents and certificates relating to the organization, existence and good standing of Zynga, the authorization of entering into such guaranty and other legal matters relating thereto, in form and substance reasonably satisfactory to the Administrative Agent and (b) upon the request of the Administrative Agent in its sole discretion, a signed copy of a favorable opinion, addressed to the Administrative Agent, of counsel for the Loan Parties acceptable to the Administrative Agent, as to the matters contained in clause (a) above, and as to such other matters as the Administrative Agent may reasonably request.</w:t>
      </w:r>
    </w:p>
    <w:p>
      <w:pPr>
        <w:spacing w:after="0" w:line="3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010000"/>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Negative Covenants</w:t>
      </w:r>
    </w:p>
    <w:p>
      <w:pPr>
        <w:spacing w:after="0" w:line="10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 interest on each Loan and all fees payable hereunder have been paid in full and all Letters of Credit have expired or terminated (in each case without any pending draw), or otherwise become subject to cash collateralization or other arrangements reasonably satisfactory to the Administrative Agent, and all LC Disbursements shall have been reimbursed, the Borrower covenants and agrees with the Lenders that:</w:t>
      </w:r>
    </w:p>
    <w:p>
      <w:pPr>
        <w:spacing w:after="0" w:line="171"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010000"/>
        </w:rPr>
        <w:t xml:space="preserve">SECTION 6.01. </w:t>
      </w:r>
      <w:r>
        <w:rPr>
          <w:rFonts w:ascii="Times New Roman" w:cs="Times New Roman" w:eastAsia="Times New Roman" w:hAnsi="Times New Roman"/>
          <w:sz w:val="19"/>
          <w:szCs w:val="19"/>
          <w:u w:val="single" w:color="auto"/>
          <w:color w:val="000000"/>
        </w:rPr>
        <w:t>Subsidiary Indebtedness</w:t>
      </w:r>
      <w:r>
        <w:rPr>
          <w:rFonts w:ascii="Times New Roman" w:cs="Times New Roman" w:eastAsia="Times New Roman" w:hAnsi="Times New Roman"/>
          <w:sz w:val="19"/>
          <w:szCs w:val="19"/>
          <w:color w:val="000000"/>
        </w:rPr>
        <w:t>. The Borrower will not permit any Subsidiary to create, incur, assume or permit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exist any Indebtedness, except:</w:t>
      </w:r>
    </w:p>
    <w:p>
      <w:pPr>
        <w:spacing w:after="0" w:line="143" w:lineRule="exact"/>
        <w:rPr>
          <w:sz w:val="20"/>
          <w:szCs w:val="20"/>
          <w:color w:val="auto"/>
        </w:rPr>
      </w:pPr>
    </w:p>
    <w:p>
      <w:pPr>
        <w:ind w:left="1860" w:hanging="619"/>
        <w:spacing w:after="0"/>
        <w:tabs>
          <w:tab w:leader="none" w:pos="1860"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Obligations;</w:t>
      </w:r>
    </w:p>
    <w:p>
      <w:pPr>
        <w:spacing w:after="0" w:line="181" w:lineRule="exact"/>
        <w:rPr>
          <w:rFonts w:ascii="Times New Roman" w:cs="Times New Roman" w:eastAsia="Times New Roman" w:hAnsi="Times New Roman"/>
          <w:sz w:val="19"/>
          <w:szCs w:val="19"/>
          <w:color w:val="010000"/>
        </w:rPr>
      </w:pPr>
    </w:p>
    <w:p>
      <w:pPr>
        <w:jc w:val="both"/>
        <w:ind w:left="620" w:firstLine="621"/>
        <w:spacing w:after="0" w:line="222" w:lineRule="auto"/>
        <w:tabs>
          <w:tab w:leader="none" w:pos="1846"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existing on the date hereof and set forth in </w:t>
      </w:r>
      <w:r>
        <w:rPr>
          <w:rFonts w:ascii="Times New Roman" w:cs="Times New Roman" w:eastAsia="Times New Roman" w:hAnsi="Times New Roman"/>
          <w:sz w:val="19"/>
          <w:szCs w:val="19"/>
          <w:u w:val="single" w:color="auto"/>
          <w:color w:val="auto"/>
        </w:rPr>
        <w:t>Schedule 6.01</w:t>
      </w:r>
      <w:r>
        <w:rPr>
          <w:rFonts w:ascii="Times New Roman" w:cs="Times New Roman" w:eastAsia="Times New Roman" w:hAnsi="Times New Roman"/>
          <w:sz w:val="19"/>
          <w:szCs w:val="19"/>
          <w:color w:val="auto"/>
        </w:rPr>
        <w:t xml:space="preserve"> to the Disclosure Letter and extensions, renewals, refinancings and replacements of any such Indebtedness with Indebtedness of a similar type that does not increase the outstanding principal amount thereof except by an amount equal to a reasonable premium or other reasonable amount paid, and fees and expenses reasonably incurred, in connection with such extensions, renewals, refinancings or replacements;</w:t>
      </w:r>
    </w:p>
    <w:p>
      <w:pPr>
        <w:spacing w:after="0" w:line="158"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of any Subsidiary to the Borrower or any other Subsidiary;</w:t>
      </w:r>
    </w:p>
    <w:p>
      <w:pPr>
        <w:spacing w:after="0" w:line="168"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Guarantees by any Subsidiary of Indebtedness of the Borrower or any other Subsidiary;</w:t>
      </w:r>
    </w:p>
    <w:p>
      <w:pPr>
        <w:spacing w:after="0" w:line="181" w:lineRule="exact"/>
        <w:rPr>
          <w:rFonts w:ascii="Times New Roman" w:cs="Times New Roman" w:eastAsia="Times New Roman" w:hAnsi="Times New Roman"/>
          <w:sz w:val="19"/>
          <w:szCs w:val="19"/>
          <w:color w:val="010000"/>
        </w:rPr>
      </w:pPr>
    </w:p>
    <w:p>
      <w:pPr>
        <w:jc w:val="both"/>
        <w:ind w:left="620" w:firstLine="621"/>
        <w:spacing w:after="0" w:line="217" w:lineRule="auto"/>
        <w:tabs>
          <w:tab w:leader="none" w:pos="1848"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any Subsidiary incurred to finance the acquisition, construction or improvement of any fixed or capital assets, including Financing Lease Obligations and any Indebtedness assumed in connection with the acquisition of any such assets or secured by a Lien on any such assets (and any additions, accessions, parts, improvements and attachments thereto and the proceeds thereof)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is incurred prior to or within two hundred seventy (270) days after such acquisition or the completion of such construction or improvement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23" w:lineRule="exact"/>
        <w:rPr>
          <w:sz w:val="20"/>
          <w:szCs w:val="20"/>
          <w:color w:val="auto"/>
        </w:rPr>
      </w:pPr>
    </w:p>
    <w:p>
      <w:pPr>
        <w:ind w:left="620" w:firstLine="2"/>
        <w:spacing w:after="0"/>
        <w:tabs>
          <w:tab w:leader="none" w:pos="90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amount of Indebtedness permitted by this clause (e) at any time outstanding shall not exceed the greater of (x) $125,000,000 and (y) 1.25% of Consolidated Total Assets at the time incurred;</w:t>
      </w:r>
    </w:p>
    <w:p>
      <w:pPr>
        <w:spacing w:after="0" w:line="156" w:lineRule="exact"/>
        <w:rPr>
          <w:rFonts w:ascii="Times New Roman" w:cs="Times New Roman" w:eastAsia="Times New Roman" w:hAnsi="Times New Roman"/>
          <w:sz w:val="19"/>
          <w:szCs w:val="19"/>
          <w:color w:val="auto"/>
        </w:rPr>
      </w:pPr>
    </w:p>
    <w:p>
      <w:pPr>
        <w:ind w:left="620" w:firstLine="621"/>
        <w:spacing w:after="0" w:line="233" w:lineRule="auto"/>
        <w:tabs>
          <w:tab w:leader="none" w:pos="1853"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of any Subsidiary as an account party in respect of trade or standby letters of credit, bank guarantees and bankers’ acceptances and any guarantees of such Indebtedness of another Subsidiary;</w:t>
      </w:r>
    </w:p>
    <w:p>
      <w:pPr>
        <w:spacing w:after="0" w:line="155" w:lineRule="exact"/>
        <w:rPr>
          <w:rFonts w:ascii="Times New Roman" w:cs="Times New Roman" w:eastAsia="Times New Roman" w:hAnsi="Times New Roman"/>
          <w:sz w:val="19"/>
          <w:szCs w:val="19"/>
          <w:color w:val="010000"/>
        </w:rPr>
      </w:pPr>
    </w:p>
    <w:p>
      <w:pPr>
        <w:jc w:val="both"/>
        <w:ind w:left="620" w:firstLine="621"/>
        <w:spacing w:after="0" w:line="222" w:lineRule="auto"/>
        <w:tabs>
          <w:tab w:leader="none" w:pos="1846"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with respect to surety, appeal, indemnity, performance or other similar bonds in the ordinary course of business or with respect to agreements providing for indemnification, adjustment of purchase price, earn-out payments, earnest money or similar obligations in connection with any acquisitions, dispositions permitted by Section 6.04 or other uses provided for in clause (d) of the definition of Permitted Encumbrances;</w:t>
      </w:r>
    </w:p>
    <w:p>
      <w:pPr>
        <w:spacing w:after="0" w:line="158" w:lineRule="exact"/>
        <w:rPr>
          <w:rFonts w:ascii="Times New Roman" w:cs="Times New Roman" w:eastAsia="Times New Roman" w:hAnsi="Times New Roman"/>
          <w:sz w:val="19"/>
          <w:szCs w:val="19"/>
          <w:color w:val="010000"/>
        </w:rPr>
      </w:pPr>
    </w:p>
    <w:p>
      <w:pPr>
        <w:ind w:left="620" w:firstLine="621"/>
        <w:spacing w:after="0" w:line="233" w:lineRule="auto"/>
        <w:tabs>
          <w:tab w:leader="none" w:pos="1846"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arising from the honoring of a check, draft or similar instrument against insufficient funds or from the endorsement of instruments for collection in the ordinary course of business;</w:t>
      </w:r>
    </w:p>
    <w:p>
      <w:pPr>
        <w:spacing w:after="0" w:line="155" w:lineRule="exact"/>
        <w:rPr>
          <w:rFonts w:ascii="Times New Roman" w:cs="Times New Roman" w:eastAsia="Times New Roman" w:hAnsi="Times New Roman"/>
          <w:sz w:val="19"/>
          <w:szCs w:val="19"/>
          <w:color w:val="010000"/>
        </w:rPr>
      </w:pPr>
    </w:p>
    <w:p>
      <w:pPr>
        <w:ind w:left="620" w:firstLine="621"/>
        <w:spacing w:after="0" w:line="233" w:lineRule="auto"/>
        <w:tabs>
          <w:tab w:leader="none" w:pos="1855"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customer deposits and advance payments received in the ordinary course of business from customers for goods or services purchased in the ordinary course of business;</w:t>
      </w:r>
    </w:p>
    <w:p>
      <w:pPr>
        <w:spacing w:after="0" w:line="155" w:lineRule="exact"/>
        <w:rPr>
          <w:rFonts w:ascii="Times New Roman" w:cs="Times New Roman" w:eastAsia="Times New Roman" w:hAnsi="Times New Roman"/>
          <w:sz w:val="19"/>
          <w:szCs w:val="19"/>
          <w:color w:val="010000"/>
        </w:rPr>
      </w:pPr>
    </w:p>
    <w:p>
      <w:pPr>
        <w:ind w:left="620" w:firstLine="621"/>
        <w:spacing w:after="0"/>
        <w:tabs>
          <w:tab w:leader="none" w:pos="1855"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consisting of (i) the financing of insurance premiums or (ii) take-or-pay obligations contained in supply agreements, in each case incurred in the ordinary course of business;</w:t>
      </w:r>
    </w:p>
    <w:p>
      <w:pPr>
        <w:spacing w:after="0" w:line="143" w:lineRule="exact"/>
        <w:rPr>
          <w:rFonts w:ascii="Times New Roman" w:cs="Times New Roman" w:eastAsia="Times New Roman" w:hAnsi="Times New Roman"/>
          <w:sz w:val="19"/>
          <w:szCs w:val="19"/>
          <w:color w:val="010000"/>
        </w:rPr>
      </w:pPr>
    </w:p>
    <w:p>
      <w:pPr>
        <w:jc w:val="both"/>
        <w:ind w:left="620" w:firstLine="621"/>
        <w:spacing w:after="0" w:line="231" w:lineRule="auto"/>
        <w:tabs>
          <w:tab w:leader="none" w:pos="1846"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any Person that becomes a Subsidiary after the date hereof pursuant to an acquisition permitted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exists at the time such Person becomes a Subsidiary and is not created in contemplation of or in connection with such Person becoming a Subsidiary; and</w:t>
      </w:r>
    </w:p>
    <w:p>
      <w:pPr>
        <w:spacing w:after="0" w:line="142" w:lineRule="exact"/>
        <w:rPr>
          <w:rFonts w:ascii="Times New Roman" w:cs="Times New Roman" w:eastAsia="Times New Roman" w:hAnsi="Times New Roman"/>
          <w:sz w:val="19"/>
          <w:szCs w:val="19"/>
          <w:color w:val="010000"/>
        </w:rPr>
      </w:pPr>
    </w:p>
    <w:p>
      <w:pPr>
        <w:ind w:left="620" w:firstLine="621"/>
        <w:spacing w:after="0"/>
        <w:tabs>
          <w:tab w:leader="none" w:pos="1855" w:val="left"/>
        </w:tabs>
        <w:numPr>
          <w:ilvl w:val="1"/>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in an aggregate principal amount, when aggregated with the aggregate principal amount of Indebtedness secured by Liens permitted by Section 6.02(n), not exceeding 10% of Consolidated Total Assets at any time outstanding.</w:t>
      </w:r>
    </w:p>
    <w:p>
      <w:pPr>
        <w:spacing w:after="0" w:line="156" w:lineRule="exact"/>
        <w:rPr>
          <w:sz w:val="20"/>
          <w:szCs w:val="20"/>
          <w:color w:val="auto"/>
        </w:rPr>
      </w:pPr>
    </w:p>
    <w:p>
      <w:pPr>
        <w:jc w:val="both"/>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6.02. </w:t>
      </w:r>
      <w:r>
        <w:rPr>
          <w:rFonts w:ascii="Times New Roman" w:cs="Times New Roman" w:eastAsia="Times New Roman" w:hAnsi="Times New Roman"/>
          <w:sz w:val="19"/>
          <w:szCs w:val="19"/>
          <w:u w:val="single" w:color="auto"/>
          <w:color w:val="000000"/>
        </w:rPr>
        <w:t>Liens</w:t>
      </w:r>
      <w:r>
        <w:rPr>
          <w:rFonts w:ascii="Times New Roman" w:cs="Times New Roman" w:eastAsia="Times New Roman" w:hAnsi="Times New Roman"/>
          <w:sz w:val="19"/>
          <w:szCs w:val="19"/>
          <w:color w:val="000000"/>
        </w:rPr>
        <w:t>. The Borrower will not, and will not permit any Subsidiary to, create, incur, assume or permit to exist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Lien on any property or asset now owned or hereafter acquired by it, securing Indebtedness described in clause (a) of the definition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except:</w:t>
      </w:r>
    </w:p>
    <w:p>
      <w:pPr>
        <w:spacing w:after="0" w:line="161" w:lineRule="exact"/>
        <w:rPr>
          <w:sz w:val="20"/>
          <w:szCs w:val="20"/>
          <w:color w:val="auto"/>
        </w:rPr>
      </w:pPr>
    </w:p>
    <w:p>
      <w:pPr>
        <w:ind w:left="1860" w:hanging="619"/>
        <w:spacing w:after="0"/>
        <w:tabs>
          <w:tab w:leader="none" w:pos="1860"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Permitted Encumbrances;</w:t>
      </w:r>
    </w:p>
    <w:p>
      <w:pPr>
        <w:spacing w:after="0" w:line="168"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securing Indebtedness of Subsidiaries owing to the Borrower or any of its Subsidiaries;</w:t>
      </w:r>
    </w:p>
    <w:p>
      <w:pPr>
        <w:spacing w:after="0" w:line="181" w:lineRule="exact"/>
        <w:rPr>
          <w:rFonts w:ascii="Times New Roman" w:cs="Times New Roman" w:eastAsia="Times New Roman" w:hAnsi="Times New Roman"/>
          <w:sz w:val="19"/>
          <w:szCs w:val="19"/>
          <w:color w:val="010000"/>
        </w:rPr>
      </w:pPr>
    </w:p>
    <w:p>
      <w:pPr>
        <w:jc w:val="both"/>
        <w:ind w:left="620" w:firstLine="621"/>
        <w:spacing w:after="0" w:line="216" w:lineRule="auto"/>
        <w:tabs>
          <w:tab w:leader="none" w:pos="1848"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Lien on any property or asset (and any additions, accessions, parts, improvements and attachments thereto and the proceeds thereof) of the Borrower or any Subsidiary existing on the date hereof and set forth in </w:t>
      </w:r>
      <w:r>
        <w:rPr>
          <w:rFonts w:ascii="Times New Roman" w:cs="Times New Roman" w:eastAsia="Times New Roman" w:hAnsi="Times New Roman"/>
          <w:sz w:val="19"/>
          <w:szCs w:val="19"/>
          <w:u w:val="single" w:color="auto"/>
          <w:color w:val="auto"/>
        </w:rPr>
        <w:t>Schedule 6.02</w:t>
      </w:r>
      <w:r>
        <w:rPr>
          <w:rFonts w:ascii="Times New Roman" w:cs="Times New Roman" w:eastAsia="Times New Roman" w:hAnsi="Times New Roman"/>
          <w:sz w:val="19"/>
          <w:szCs w:val="19"/>
          <w:color w:val="auto"/>
        </w:rPr>
        <w:t xml:space="preserve"> to the Disclosure Letter;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shall not apply to any other property or asset (other than any additions, accessions, parts, improvements and attachments thereto and the proceeds thereof) of the Borrower or any Subsidiary and (ii) such Lien shall secure only those obligations which it secures on the date hereof and extensions, renewals and replacements thereof that do not increase the outstanding principal amount thereof (plus any accrued and unpaid interest and premium payable by the terms of such obligations thereon and other reasonable amounts paid, and fees and expenses reasonably incurred, in connection with such extensions, renewals, refinancings or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lxxxi</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23" w:lineRule="exact"/>
        <w:rPr>
          <w:sz w:val="20"/>
          <w:szCs w:val="20"/>
          <w:color w:val="auto"/>
        </w:rPr>
      </w:pPr>
    </w:p>
    <w:p>
      <w:pPr>
        <w:jc w:val="both"/>
        <w:ind w:left="-500" w:firstLine="621"/>
        <w:spacing w:after="0" w:line="212" w:lineRule="auto"/>
        <w:tabs>
          <w:tab w:leader="none" w:pos="726"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Lien existing on any property or asset (and any additions, accessions, parts, improvements and attachments thereto and the proceeds thereof) prior to the acquisition thereof by the Borrower or any Subsidiary or existing on any property or asset (and any additions, accessions, parts, improvements and attachments thereto and the proceeds thereof) of any Person that becomes a Subsidiary after the date hereof prior to the time such Person becomes a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or such Person becoming a Subsidiary, as the case may be, (ii) such Lien shall not apply to any other property or assets (other than any additions, accessions, parts, improvements and attachments thereto and the proceeds and the products thereof and customary security deposits, related contract rights and payment intangibles and other assets related thereto)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 (plus any accrued and unpaid interest and premium payable by the terms of such obligations thereon and other reasonable amounts paid, and fees and expenses reasonably incurred, in connection with such extensions, renewals, refinancings or replacements);</w:t>
      </w:r>
    </w:p>
    <w:p>
      <w:pPr>
        <w:spacing w:after="0" w:line="159" w:lineRule="exact"/>
        <w:rPr>
          <w:rFonts w:ascii="Times New Roman" w:cs="Times New Roman" w:eastAsia="Times New Roman" w:hAnsi="Times New Roman"/>
          <w:sz w:val="19"/>
          <w:szCs w:val="19"/>
          <w:color w:val="010000"/>
        </w:rPr>
      </w:pPr>
    </w:p>
    <w:p>
      <w:pPr>
        <w:jc w:val="both"/>
        <w:ind w:left="-500" w:firstLine="621"/>
        <w:spacing w:after="0" w:line="216" w:lineRule="auto"/>
        <w:tabs>
          <w:tab w:leader="none" w:pos="728"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fixed or capital assets (and any additions, accessions, parts, improvements and attachments thereto and the proceeds thereof) acquired, constructed or improved by the Borrower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the case of any Subsidiary, such security interests secure Indebtedness permitted by clause (e) of Section 6.01, (ii) such security interests and the Indebtedness secured thereby are incurred prior to or within two hundred seventy (270)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(other than any additions, accessions, parts, improvements and attachments thereto and the proceeds thereof) of the Borrower or any Subsidiary;</w:t>
      </w:r>
    </w:p>
    <w:p>
      <w:pPr>
        <w:spacing w:after="0" w:line="157" w:lineRule="exact"/>
        <w:rPr>
          <w:rFonts w:ascii="Times New Roman" w:cs="Times New Roman" w:eastAsia="Times New Roman" w:hAnsi="Times New Roman"/>
          <w:sz w:val="19"/>
          <w:szCs w:val="19"/>
          <w:color w:val="010000"/>
        </w:rPr>
      </w:pPr>
    </w:p>
    <w:p>
      <w:pPr>
        <w:jc w:val="both"/>
        <w:ind w:left="-500" w:firstLine="621"/>
        <w:spacing w:after="0" w:line="217" w:lineRule="auto"/>
        <w:tabs>
          <w:tab w:leader="none" w:pos="733"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59" w:lineRule="exact"/>
        <w:rPr>
          <w:rFonts w:ascii="Times New Roman" w:cs="Times New Roman" w:eastAsia="Times New Roman" w:hAnsi="Times New Roman"/>
          <w:sz w:val="19"/>
          <w:szCs w:val="19"/>
          <w:color w:val="010000"/>
        </w:rPr>
      </w:pPr>
    </w:p>
    <w:p>
      <w:pPr>
        <w:jc w:val="both"/>
        <w:ind w:left="-500" w:firstLine="621"/>
        <w:spacing w:after="0" w:line="226" w:lineRule="auto"/>
        <w:tabs>
          <w:tab w:leader="none" w:pos="726"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arising as a matter of law or created in the ordinary course of business in the nature of (i) normal and customary rights of setoff and banker’s liens upon deposits of cash in favor of banks or other depository institutions and (ii) Liens securing reasonable and customary fees for services in favor of banks, securities intermediaries or other depository institutions;</w:t>
      </w:r>
    </w:p>
    <w:p>
      <w:pPr>
        <w:spacing w:after="0" w:line="156" w:lineRule="exact"/>
        <w:rPr>
          <w:rFonts w:ascii="Times New Roman" w:cs="Times New Roman" w:eastAsia="Times New Roman" w:hAnsi="Times New Roman"/>
          <w:sz w:val="19"/>
          <w:szCs w:val="19"/>
          <w:color w:val="010000"/>
        </w:rPr>
      </w:pPr>
    </w:p>
    <w:p>
      <w:pPr>
        <w:ind w:left="-500" w:firstLine="621"/>
        <w:spacing w:after="0"/>
        <w:tabs>
          <w:tab w:leader="none" w:pos="726"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any cash earnest money deposit made by the Borrower or any Subsidiary in connection with any letter of intent or acquisition agreement that is not prohibited by this Agreement;</w:t>
      </w:r>
    </w:p>
    <w:p>
      <w:pPr>
        <w:spacing w:after="0" w:line="143" w:lineRule="exact"/>
        <w:rPr>
          <w:rFonts w:ascii="Times New Roman" w:cs="Times New Roman" w:eastAsia="Times New Roman" w:hAnsi="Times New Roman"/>
          <w:sz w:val="19"/>
          <w:szCs w:val="19"/>
          <w:color w:val="010000"/>
        </w:rPr>
      </w:pPr>
    </w:p>
    <w:p>
      <w:pPr>
        <w:ind w:left="-500" w:firstLine="621"/>
        <w:spacing w:after="0"/>
        <w:tabs>
          <w:tab w:leader="none" w:pos="735"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customary Liens granted in favor of a trustee to secure fees and other amounts owing to such trustee under an indenture or other agreement pursuant to Indebtedness not otherwise prohibited under this Agreement;</w:t>
      </w:r>
    </w:p>
    <w:p>
      <w:pPr>
        <w:spacing w:after="0" w:line="156" w:lineRule="exact"/>
        <w:rPr>
          <w:rFonts w:ascii="Times New Roman" w:cs="Times New Roman" w:eastAsia="Times New Roman" w:hAnsi="Times New Roman"/>
          <w:sz w:val="19"/>
          <w:szCs w:val="19"/>
          <w:color w:val="010000"/>
        </w:rPr>
      </w:pPr>
    </w:p>
    <w:p>
      <w:pPr>
        <w:jc w:val="both"/>
        <w:ind w:left="-500" w:firstLine="621"/>
        <w:spacing w:after="0" w:line="226" w:lineRule="auto"/>
        <w:tabs>
          <w:tab w:leader="none" w:pos="735"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assignments of the right to receive income effected as part of the sale of a Subsidiary or a business unit that is engaged in business of the type conducted by the Borrower and its Subsidiaries on the date of execution of this Agreement and businesses reasonably related thereto;</w:t>
      </w:r>
    </w:p>
    <w:p>
      <w:pPr>
        <w:spacing w:after="0" w:line="156" w:lineRule="exact"/>
        <w:rPr>
          <w:rFonts w:ascii="Times New Roman" w:cs="Times New Roman" w:eastAsia="Times New Roman" w:hAnsi="Times New Roman"/>
          <w:sz w:val="19"/>
          <w:szCs w:val="19"/>
          <w:color w:val="010000"/>
        </w:rPr>
      </w:pPr>
    </w:p>
    <w:p>
      <w:pPr>
        <w:ind w:left="720" w:hanging="599"/>
        <w:spacing w:after="0"/>
        <w:tabs>
          <w:tab w:leader="none" w:pos="720"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insurance proceeds securing the premium of financed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lxxxii</w:t>
      </w:r>
    </w:p>
    <w:p>
      <w:pPr>
        <w:sectPr>
          <w:pgSz w:w="11900" w:h="16838" w:orient="portrait"/>
          <w:cols w:equalWidth="0" w:num="1">
            <w:col w:w="10120"/>
          </w:cols>
          <w:pgMar w:left="1440" w:top="1440" w:right="339" w:bottom="1440" w:gutter="0" w:footer="0" w:header="0"/>
        </w:sectPr>
      </w:pPr>
    </w:p>
    <w:bookmarkStart w:id="202" w:name="page203"/>
    <w:bookmarkEnd w:id="202"/>
    <w:p>
      <w:pPr>
        <w:spacing w:after="0" w:line="123" w:lineRule="exact"/>
        <w:rPr>
          <w:sz w:val="20"/>
          <w:szCs w:val="20"/>
          <w:color w:val="auto"/>
        </w:rPr>
      </w:pPr>
    </w:p>
    <w:p>
      <w:pPr>
        <w:jc w:val="both"/>
        <w:ind w:left="620" w:firstLine="621"/>
        <w:spacing w:after="0" w:line="231" w:lineRule="auto"/>
        <w:tabs>
          <w:tab w:leader="none" w:pos="1855"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cash collateral securing reimbursement obligations with respect to letters of credit, bank guarantees and bankers’ acceptances, and Liens on cash collateral or margin posted for obligations arising under Swap Agreements, in each case, that are not otherwise prohibited under this Agreement and are in respect of transactions entered into in the ordinary course of business;</w:t>
      </w:r>
    </w:p>
    <w:p>
      <w:pPr>
        <w:spacing w:after="0" w:line="142"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incurred to secure cash or investment management or custodial services in the ordinary course of business; and</w:t>
      </w:r>
    </w:p>
    <w:p>
      <w:pPr>
        <w:spacing w:after="0" w:line="181"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46"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assets of the Borrower and its Subsidiaries not otherwise permitted above; provided that the aggregate principal amount of the Indebtedness and other obligations subject to such Liens, when aggregated with the aggregate principal amount of Indebtedness permitted by Section 6.01(l), does not at any time exceed 10% of Consolidated Total Assets.</w:t>
      </w:r>
    </w:p>
    <w:p>
      <w:pPr>
        <w:spacing w:after="0" w:line="156"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6.03. </w:t>
      </w:r>
      <w:r>
        <w:rPr>
          <w:rFonts w:ascii="Times New Roman" w:cs="Times New Roman" w:eastAsia="Times New Roman" w:hAnsi="Times New Roman"/>
          <w:sz w:val="19"/>
          <w:szCs w:val="19"/>
          <w:u w:val="single" w:color="auto"/>
          <w:color w:val="000000"/>
        </w:rPr>
        <w:t>Sale and Leaseback Transactions</w:t>
      </w:r>
      <w:r>
        <w:rPr>
          <w:rFonts w:ascii="Times New Roman" w:cs="Times New Roman" w:eastAsia="Times New Roman" w:hAnsi="Times New Roman"/>
          <w:sz w:val="19"/>
          <w:szCs w:val="19"/>
          <w:color w:val="000000"/>
        </w:rPr>
        <w:t>. The Borrower shall not, nor shall it permit any Subsidiary to, enter into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Sale and Leaseback Transaction with respect to a Principal Property, other than (i) transactions permitted by Sections 6.01(e) and 6.02(e) and</w:t>
      </w:r>
    </w:p>
    <w:p>
      <w:pPr>
        <w:spacing w:after="0" w:line="1" w:lineRule="exact"/>
        <w:rPr>
          <w:sz w:val="20"/>
          <w:szCs w:val="20"/>
          <w:color w:val="auto"/>
        </w:rPr>
      </w:pPr>
    </w:p>
    <w:p>
      <w:pPr>
        <w:ind w:firstLine="3"/>
        <w:spacing w:after="0" w:line="229" w:lineRule="auto"/>
        <w:tabs>
          <w:tab w:leader="none" w:pos="288"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Sale and Leaseback Transactions in respect of which the aggregate Attributable Debt permitted by this Section 6.03 does not at any time exceed $100,000,000.</w:t>
      </w:r>
    </w:p>
    <w:p>
      <w:pPr>
        <w:spacing w:after="0" w:line="143" w:lineRule="exact"/>
        <w:rPr>
          <w:sz w:val="20"/>
          <w:szCs w:val="20"/>
          <w:color w:val="auto"/>
        </w:rPr>
      </w:pPr>
    </w:p>
    <w:p>
      <w:pPr>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6.04. </w:t>
      </w:r>
      <w:r>
        <w:rPr>
          <w:rFonts w:ascii="Times New Roman" w:cs="Times New Roman" w:eastAsia="Times New Roman" w:hAnsi="Times New Roman"/>
          <w:sz w:val="19"/>
          <w:szCs w:val="19"/>
          <w:u w:val="single" w:color="auto"/>
          <w:color w:val="000000"/>
        </w:rPr>
        <w:t>Fundamental Changes and Asset Sales</w:t>
      </w:r>
      <w:r>
        <w:rPr>
          <w:rFonts w:ascii="Times New Roman" w:cs="Times New Roman" w:eastAsia="Times New Roman" w:hAnsi="Times New Roman"/>
          <w:sz w:val="19"/>
          <w:szCs w:val="19"/>
          <w:color w:val="000000"/>
        </w:rPr>
        <w:t>. The Borrower will not merge into or consolidate with any other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Person, or permit any other Person to merge into or consolidate with it, or sell, transfer, lease or otherwise dispose of (in one transaction or in a</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series of transactions) all or substantially all of the assets of the Borrower and its Subsidiaries taken as a whole (including pursuant to a Sale and Leaseback Transaction) (in each case, whether now owned or hereafter acquired), or liquidate or dissolve, except that, if at the time thereof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immediately after giving effect thereto no Default shall have occurred and be continuing:</w:t>
      </w:r>
    </w:p>
    <w:p>
      <w:pPr>
        <w:spacing w:after="0" w:line="161" w:lineRule="exact"/>
        <w:rPr>
          <w:sz w:val="20"/>
          <w:szCs w:val="20"/>
          <w:color w:val="auto"/>
        </w:rPr>
      </w:pPr>
    </w:p>
    <w:p>
      <w:pPr>
        <w:jc w:val="both"/>
        <w:ind w:left="620" w:firstLine="621"/>
        <w:spacing w:after="0" w:line="222" w:lineRule="auto"/>
        <w:tabs>
          <w:tab w:leader="none" w:pos="1855" w:val="left"/>
        </w:tabs>
        <w:numPr>
          <w:ilvl w:val="0"/>
          <w:numId w:val="1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Person (including a Subsidiary) may merge into or consolidate with the Borrower in a transaction in which the Borrower is the surviving corporation (including a merger the purpose of which is to reorganize the Borrower into a new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an entity organized or existing under the laws of the United States, any state thereof or the District of Columbia); and</w:t>
      </w:r>
    </w:p>
    <w:p>
      <w:pPr>
        <w:spacing w:after="0" w:line="145" w:lineRule="exact"/>
        <w:rPr>
          <w:rFonts w:ascii="Times New Roman" w:cs="Times New Roman" w:eastAsia="Times New Roman" w:hAnsi="Times New Roman"/>
          <w:sz w:val="19"/>
          <w:szCs w:val="19"/>
          <w:color w:val="010000"/>
        </w:rPr>
      </w:pPr>
    </w:p>
    <w:p>
      <w:pPr>
        <w:jc w:val="both"/>
        <w:ind w:left="620" w:firstLine="621"/>
        <w:spacing w:after="0" w:line="215" w:lineRule="auto"/>
        <w:tabs>
          <w:tab w:leader="none" w:pos="1856" w:val="left"/>
        </w:tabs>
        <w:numPr>
          <w:ilvl w:val="0"/>
          <w:numId w:val="1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merge into or consolidate with any other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be the continuing or surviving corporation or (ii) if the Person formed by or surviving any such merger or consolidation (any such Person, the “</w:t>
      </w:r>
      <w:r>
        <w:rPr>
          <w:rFonts w:ascii="Times New Roman" w:cs="Times New Roman" w:eastAsia="Times New Roman" w:hAnsi="Times New Roman"/>
          <w:sz w:val="19"/>
          <w:szCs w:val="19"/>
          <w:u w:val="single" w:color="auto"/>
          <w:color w:val="auto"/>
        </w:rPr>
        <w:t>Successor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xml:space="preserve">”) is not the Borrower, (A) the Successor Company shall be an entity organized or existing under the laws of the United States, any state thereof or the District of Columbia, (B) the Successor Company shall expressly assume all the obligations of the Borrower under this Agreement and the other Loan Documents to which the Borrower is a party pursuant to a supplement hereto or thereto in form reasonably satisfactory to the Administrative Agent and (C) the Borrower shall have delivered to the Administrative Agent (i) an officer’s certificate stating that such merger or consolidation and such supplement to this Agreement comply with this Agreement and (ii) information and documentation of the type referred to in Section 5.01(e)(ii);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foregoing are satisfied, the Successor Company will succeed to, and be substituted for, the Borrower under this Agreement.</w:t>
      </w:r>
    </w:p>
    <w:p>
      <w:pPr>
        <w:spacing w:after="0" w:line="14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6.05.</w:t>
      </w:r>
      <w:r>
        <w:rPr>
          <w:sz w:val="20"/>
          <w:szCs w:val="20"/>
          <w:color w:val="auto"/>
        </w:rPr>
        <w:tab/>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008000"/>
          <w:strike w:val="1"/>
        </w:rPr>
        <w:t>. The Borrower will not permit the Leverage Ratio, determined as of the end of each of</w:t>
      </w:r>
    </w:p>
    <w:p>
      <w:pPr>
        <w:spacing w:after="0" w:line="229" w:lineRule="auto"/>
        <w:rPr>
          <w:sz w:val="20"/>
          <w:szCs w:val="20"/>
          <w:color w:val="auto"/>
        </w:rPr>
      </w:pPr>
      <w:r>
        <w:rPr>
          <w:rFonts w:ascii="Times New Roman" w:cs="Times New Roman" w:eastAsia="Times New Roman" w:hAnsi="Times New Roman"/>
          <w:sz w:val="19"/>
          <w:szCs w:val="19"/>
          <w:color w:val="008000"/>
          <w:strike w:val="1"/>
        </w:rPr>
        <w:t xml:space="preserve">its fiscal quarters ending on and after </w:t>
      </w:r>
      <w:r>
        <w:rPr>
          <w:rFonts w:ascii="Times New Roman" w:cs="Times New Roman" w:eastAsia="Times New Roman" w:hAnsi="Times New Roman"/>
          <w:sz w:val="19"/>
          <w:szCs w:val="19"/>
          <w:b w:val="1"/>
          <w:bCs w:val="1"/>
          <w:color w:val="FF0000"/>
          <w:strike w:val="1"/>
        </w:rPr>
        <w:t>September 30, 2022, to exceed the ratio set forth opposite the applicable date set forth below during</w:t>
      </w:r>
      <w:r>
        <w:rPr>
          <w:rFonts w:ascii="Times New Roman" w:cs="Times New Roman" w:eastAsia="Times New Roman" w:hAnsi="Times New Roman"/>
          <w:sz w:val="19"/>
          <w:szCs w:val="19"/>
          <w:color w:val="008000"/>
          <w:strike w:val="1"/>
        </w:rPr>
        <w:t xml:space="preserve"> </w:t>
      </w:r>
      <w:r>
        <w:rPr>
          <w:rFonts w:ascii="Times New Roman" w:cs="Times New Roman" w:eastAsia="Times New Roman" w:hAnsi="Times New Roman"/>
          <w:sz w:val="19"/>
          <w:szCs w:val="19"/>
          <w:b w:val="1"/>
          <w:bCs w:val="1"/>
          <w:color w:val="FF0000"/>
          <w:strike w:val="1"/>
        </w:rPr>
        <w:t>which such fiscal quarter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lxxxiii</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1030605</wp:posOffset>
            </wp:positionV>
            <wp:extent cx="7146925" cy="13182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a:extLst>
                        <a:ext uri="{28A0092B-C50C-407E-A947-70E740481C1C}"/>
                      </a:extLst>
                    </a:blip>
                    <a:srcRect/>
                    <a:stretch>
                      <a:fillRect/>
                    </a:stretch>
                  </pic:blipFill>
                  <pic:spPr bwMode="auto">
                    <a:xfrm>
                      <a:off x="0" y="0"/>
                      <a:ext cx="7146925" cy="1318260"/>
                    </a:xfrm>
                    <a:prstGeom prst="rect">
                      <a:avLst/>
                    </a:prstGeom>
                    <a:noFill/>
                  </pic:spPr>
                </pic:pic>
              </a:graphicData>
            </a:graphic>
          </wp:anchor>
        </w:drawing>
      </w:r>
    </w:p>
    <w:tbl>
      <w:tblPr>
        <w:tblLayout w:type="fixed"/>
        <w:tblInd w:w="2060" w:type="dxa"/>
        <w:tblCellMar>
          <w:top w:w="0" w:type="dxa"/>
          <w:left w:w="0" w:type="dxa"/>
          <w:bottom w:w="0" w:type="dxa"/>
          <w:right w:w="0" w:type="dxa"/>
        </w:tblCellMar>
      </w:tblPr>
      <w:tr>
        <w:trPr>
          <w:trHeight w:val="248"/>
        </w:trPr>
        <w:tc>
          <w:tcPr>
            <w:tcW w:w="4340" w:type="dxa"/>
            <w:vAlign w:val="bottom"/>
          </w:tcPr>
          <w:p>
            <w:pPr>
              <w:jc w:val="center"/>
              <w:ind w:right="1486"/>
              <w:spacing w:after="0"/>
              <w:rPr>
                <w:sz w:val="20"/>
                <w:szCs w:val="20"/>
                <w:color w:val="auto"/>
              </w:rPr>
            </w:pPr>
            <w:r>
              <w:rPr>
                <w:rFonts w:ascii="Times New Roman" w:cs="Times New Roman" w:eastAsia="Times New Roman" w:hAnsi="Times New Roman"/>
                <w:sz w:val="19"/>
                <w:szCs w:val="19"/>
                <w:b w:val="1"/>
                <w:bCs w:val="1"/>
                <w:color w:val="FF0000"/>
                <w:strike w:val="1"/>
                <w:w w:val="99"/>
              </w:rPr>
              <w:t>Quarter(s) Ended</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w w:val="99"/>
              </w:rPr>
              <w:t>Maximum Leverage Ratio</w:t>
            </w:r>
          </w:p>
        </w:tc>
      </w:tr>
      <w:tr>
        <w:trPr>
          <w:trHeight w:val="258"/>
        </w:trPr>
        <w:tc>
          <w:tcPr>
            <w:tcW w:w="4340" w:type="dxa"/>
            <w:vAlign w:val="bottom"/>
          </w:tcPr>
          <w:p>
            <w:pPr>
              <w:jc w:val="center"/>
              <w:ind w:right="1506"/>
              <w:spacing w:after="0"/>
              <w:rPr>
                <w:sz w:val="20"/>
                <w:szCs w:val="20"/>
                <w:color w:val="auto"/>
              </w:rPr>
            </w:pPr>
            <w:r>
              <w:rPr>
                <w:rFonts w:ascii="Times New Roman" w:cs="Times New Roman" w:eastAsia="Times New Roman" w:hAnsi="Times New Roman"/>
                <w:sz w:val="19"/>
                <w:szCs w:val="19"/>
                <w:b w:val="1"/>
                <w:bCs w:val="1"/>
                <w:color w:val="FF0000"/>
                <w:strike w:val="1"/>
                <w:w w:val="99"/>
              </w:rPr>
              <w:t>Prior to June 30, 2024</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3.75 to 1.00</w:t>
            </w:r>
          </w:p>
        </w:tc>
      </w:tr>
      <w:tr>
        <w:trPr>
          <w:trHeight w:val="258"/>
        </w:trPr>
        <w:tc>
          <w:tcPr>
            <w:tcW w:w="4340" w:type="dxa"/>
            <w:vAlign w:val="bottom"/>
          </w:tcPr>
          <w:p>
            <w:pPr>
              <w:jc w:val="center"/>
              <w:ind w:right="1486"/>
              <w:spacing w:after="0"/>
              <w:rPr>
                <w:sz w:val="20"/>
                <w:szCs w:val="20"/>
                <w:color w:val="auto"/>
              </w:rPr>
            </w:pPr>
            <w:r>
              <w:rPr>
                <w:rFonts w:ascii="Times New Roman" w:cs="Times New Roman" w:eastAsia="Times New Roman" w:hAnsi="Times New Roman"/>
                <w:sz w:val="19"/>
                <w:szCs w:val="19"/>
                <w:b w:val="1"/>
                <w:bCs w:val="1"/>
                <w:color w:val="FF0000"/>
                <w:strike w:val="1"/>
                <w:w w:val="97"/>
              </w:rPr>
              <w:t>June 30, 2024</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4.75 to 1.00</w:t>
            </w:r>
          </w:p>
        </w:tc>
      </w:tr>
      <w:tr>
        <w:trPr>
          <w:trHeight w:val="258"/>
        </w:trPr>
        <w:tc>
          <w:tcPr>
            <w:tcW w:w="4340" w:type="dxa"/>
            <w:vAlign w:val="bottom"/>
          </w:tcPr>
          <w:p>
            <w:pPr>
              <w:jc w:val="center"/>
              <w:ind w:right="1506"/>
              <w:spacing w:after="0"/>
              <w:rPr>
                <w:sz w:val="20"/>
                <w:szCs w:val="20"/>
                <w:color w:val="auto"/>
              </w:rPr>
            </w:pPr>
            <w:r>
              <w:rPr>
                <w:rFonts w:ascii="Times New Roman" w:cs="Times New Roman" w:eastAsia="Times New Roman" w:hAnsi="Times New Roman"/>
                <w:sz w:val="19"/>
                <w:szCs w:val="19"/>
                <w:b w:val="1"/>
                <w:bCs w:val="1"/>
                <w:color w:val="FF0000"/>
                <w:strike w:val="1"/>
                <w:w w:val="99"/>
              </w:rPr>
              <w:t>September 30, 2024</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5.75 to 1.00</w:t>
            </w:r>
          </w:p>
        </w:tc>
      </w:tr>
      <w:tr>
        <w:trPr>
          <w:trHeight w:val="258"/>
        </w:trPr>
        <w:tc>
          <w:tcPr>
            <w:tcW w:w="4340" w:type="dxa"/>
            <w:vAlign w:val="bottom"/>
          </w:tcPr>
          <w:p>
            <w:pPr>
              <w:jc w:val="center"/>
              <w:ind w:right="1486"/>
              <w:spacing w:after="0"/>
              <w:rPr>
                <w:sz w:val="20"/>
                <w:szCs w:val="20"/>
                <w:color w:val="auto"/>
              </w:rPr>
            </w:pPr>
            <w:r>
              <w:rPr>
                <w:rFonts w:ascii="Times New Roman" w:cs="Times New Roman" w:eastAsia="Times New Roman" w:hAnsi="Times New Roman"/>
                <w:sz w:val="19"/>
                <w:szCs w:val="19"/>
                <w:b w:val="1"/>
                <w:bCs w:val="1"/>
                <w:color w:val="FF0000"/>
                <w:strike w:val="1"/>
                <w:w w:val="98"/>
              </w:rPr>
              <w:t>December 31, 2024</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5.50 to 1.00</w:t>
            </w:r>
          </w:p>
        </w:tc>
      </w:tr>
      <w:tr>
        <w:trPr>
          <w:trHeight w:val="258"/>
        </w:trPr>
        <w:tc>
          <w:tcPr>
            <w:tcW w:w="4340" w:type="dxa"/>
            <w:vAlign w:val="bottom"/>
          </w:tcPr>
          <w:p>
            <w:pPr>
              <w:jc w:val="center"/>
              <w:ind w:right="1486"/>
              <w:spacing w:after="0"/>
              <w:rPr>
                <w:sz w:val="20"/>
                <w:szCs w:val="20"/>
                <w:color w:val="auto"/>
              </w:rPr>
            </w:pPr>
            <w:r>
              <w:rPr>
                <w:rFonts w:ascii="Times New Roman" w:cs="Times New Roman" w:eastAsia="Times New Roman" w:hAnsi="Times New Roman"/>
                <w:sz w:val="19"/>
                <w:szCs w:val="19"/>
                <w:b w:val="1"/>
                <w:bCs w:val="1"/>
                <w:color w:val="FF0000"/>
                <w:strike w:val="1"/>
                <w:w w:val="99"/>
              </w:rPr>
              <w:t>March 31, 2025 and June 30, 2025</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4.25 to 1.00</w:t>
            </w:r>
          </w:p>
        </w:tc>
      </w:tr>
      <w:tr>
        <w:trPr>
          <w:trHeight w:val="258"/>
        </w:trPr>
        <w:tc>
          <w:tcPr>
            <w:tcW w:w="4340" w:type="dxa"/>
            <w:vAlign w:val="bottom"/>
          </w:tcPr>
          <w:p>
            <w:pPr>
              <w:jc w:val="center"/>
              <w:ind w:right="1506"/>
              <w:spacing w:after="0"/>
              <w:rPr>
                <w:sz w:val="20"/>
                <w:szCs w:val="20"/>
                <w:color w:val="auto"/>
              </w:rPr>
            </w:pPr>
            <w:r>
              <w:rPr>
                <w:rFonts w:ascii="Times New Roman" w:cs="Times New Roman" w:eastAsia="Times New Roman" w:hAnsi="Times New Roman"/>
                <w:sz w:val="19"/>
                <w:szCs w:val="19"/>
                <w:b w:val="1"/>
                <w:bCs w:val="1"/>
                <w:color w:val="FF0000"/>
                <w:strike w:val="1"/>
                <w:w w:val="99"/>
              </w:rPr>
              <w:t>September 30, 2025</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4.00 to 1.00</w:t>
            </w:r>
          </w:p>
        </w:tc>
      </w:tr>
      <w:tr>
        <w:trPr>
          <w:trHeight w:val="258"/>
        </w:trPr>
        <w:tc>
          <w:tcPr>
            <w:tcW w:w="4340" w:type="dxa"/>
            <w:vAlign w:val="bottom"/>
          </w:tcPr>
          <w:p>
            <w:pPr>
              <w:jc w:val="center"/>
              <w:ind w:right="1486"/>
              <w:spacing w:after="0"/>
              <w:rPr>
                <w:sz w:val="20"/>
                <w:szCs w:val="20"/>
                <w:color w:val="auto"/>
              </w:rPr>
            </w:pPr>
            <w:r>
              <w:rPr>
                <w:rFonts w:ascii="Times New Roman" w:cs="Times New Roman" w:eastAsia="Times New Roman" w:hAnsi="Times New Roman"/>
                <w:sz w:val="19"/>
                <w:szCs w:val="19"/>
                <w:b w:val="1"/>
                <w:bCs w:val="1"/>
                <w:color w:val="FF0000"/>
                <w:strike w:val="1"/>
                <w:w w:val="98"/>
              </w:rPr>
              <w:t>December 31, 2025 and thereafter</w:t>
            </w:r>
          </w:p>
        </w:tc>
        <w:tc>
          <w:tcPr>
            <w:tcW w:w="3720" w:type="dxa"/>
            <w:vAlign w:val="bottom"/>
          </w:tcPr>
          <w:p>
            <w:pPr>
              <w:jc w:val="center"/>
              <w:ind w:left="1506"/>
              <w:spacing w:after="0"/>
              <w:rPr>
                <w:sz w:val="20"/>
                <w:szCs w:val="20"/>
                <w:color w:val="auto"/>
              </w:rPr>
            </w:pPr>
            <w:r>
              <w:rPr>
                <w:rFonts w:ascii="Times New Roman" w:cs="Times New Roman" w:eastAsia="Times New Roman" w:hAnsi="Times New Roman"/>
                <w:sz w:val="19"/>
                <w:szCs w:val="19"/>
                <w:b w:val="1"/>
                <w:bCs w:val="1"/>
                <w:color w:val="FF0000"/>
                <w:strike w:val="1"/>
              </w:rPr>
              <w:t>3.75 to 1.00</w:t>
            </w:r>
          </w:p>
        </w:tc>
      </w:tr>
    </w:tbl>
    <w:p>
      <w:pPr>
        <w:spacing w:after="0" w:line="200" w:lineRule="exact"/>
        <w:rPr>
          <w:sz w:val="20"/>
          <w:szCs w:val="20"/>
          <w:color w:val="auto"/>
        </w:rPr>
      </w:pPr>
    </w:p>
    <w:p>
      <w:pPr>
        <w:spacing w:after="0" w:line="329" w:lineRule="exact"/>
        <w:rPr>
          <w:sz w:val="20"/>
          <w:szCs w:val="20"/>
          <w:color w:val="auto"/>
        </w:rPr>
      </w:pPr>
    </w:p>
    <w:p>
      <w:pPr>
        <w:jc w:val="both"/>
        <w:ind w:firstLine="1241"/>
        <w:spacing w:after="0" w:line="254" w:lineRule="auto"/>
        <w:tabs>
          <w:tab w:leader="none" w:pos="1345" w:val="left"/>
        </w:tabs>
        <w:numPr>
          <w:ilvl w:val="0"/>
          <w:numId w:val="143"/>
        </w:numPr>
        <w:rPr>
          <w:rFonts w:ascii="Times New Roman" w:cs="Times New Roman" w:eastAsia="Times New Roman" w:hAnsi="Times New Roman"/>
          <w:sz w:val="19"/>
          <w:szCs w:val="19"/>
          <w:u w:val="single" w:color="auto"/>
          <w:color w:val="008000"/>
        </w:rPr>
      </w:pPr>
      <w:r>
        <w:rPr>
          <w:rFonts w:ascii="Times New Roman" w:cs="Times New Roman" w:eastAsia="Times New Roman" w:hAnsi="Times New Roman"/>
          <w:sz w:val="19"/>
          <w:szCs w:val="19"/>
          <w:u w:val="single" w:color="auto"/>
          <w:color w:val="008000"/>
        </w:rPr>
        <w:t xml:space="preserve">The Borrower will not permit the Leverage Ratio, determined as of the end of each of its fiscal quarters ending on and after </w:t>
      </w:r>
      <w:r>
        <w:rPr>
          <w:rFonts w:ascii="Times New Roman" w:cs="Times New Roman" w:eastAsia="Times New Roman" w:hAnsi="Times New Roman"/>
          <w:sz w:val="19"/>
          <w:szCs w:val="19"/>
          <w:b w:val="1"/>
          <w:bCs w:val="1"/>
          <w:u w:val="single" w:color="auto"/>
          <w:color w:val="0000FF"/>
        </w:rPr>
        <w:t>March 31, 2025, to exceed 3.75 to 1.00:</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that with respect to any fiscal quarter ending on or after</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b w:val="1"/>
          <w:bCs w:val="1"/>
          <w:color w:val="FF0000"/>
          <w:strike w:val="1"/>
        </w:rPr>
        <w:t>December</w:t>
      </w:r>
      <w:r>
        <w:rPr>
          <w:rFonts w:ascii="Times New Roman" w:cs="Times New Roman" w:eastAsia="Times New Roman" w:hAnsi="Times New Roman"/>
          <w:sz w:val="19"/>
          <w:szCs w:val="19"/>
          <w:b w:val="1"/>
          <w:bCs w:val="1"/>
          <w:u w:val="single" w:color="auto"/>
          <w:color w:val="0000FF"/>
        </w:rPr>
        <w:t>March</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31, 2025, during the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first four quarter end dates following the consummation of a Qualified Acquisition, such ratio shall increase to 4.25 to 1.00 (an “</w:t>
      </w:r>
      <w:r>
        <w:rPr>
          <w:rFonts w:ascii="Times New Roman" w:cs="Times New Roman" w:eastAsia="Times New Roman" w:hAnsi="Times New Roman"/>
          <w:sz w:val="19"/>
          <w:szCs w:val="19"/>
          <w:u w:val="single" w:color="auto"/>
          <w:color w:val="000000"/>
        </w:rPr>
        <w:t>Adjusted Leverage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Ratio Period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further</w:t>
      </w:r>
      <w:r>
        <w:rPr>
          <w:rFonts w:ascii="Times New Roman" w:cs="Times New Roman" w:eastAsia="Times New Roman" w:hAnsi="Times New Roman"/>
          <w:sz w:val="19"/>
          <w:szCs w:val="19"/>
          <w:color w:val="000000"/>
        </w:rPr>
        <w:t>, that following any Adjusted Leverage Ratio Period, such ratio shall be 3.75 to 1.00 for at least two fiscal quarters before such ratio may be increased as a result of a subsequent Qualified Acquisition.</w:t>
      </w:r>
    </w:p>
    <w:p>
      <w:pPr>
        <w:spacing w:after="0" w:line="3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010000"/>
        </w:rPr>
        <w:t>Article VII</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u w:val="single" w:color="auto"/>
          <w:color w:val="auto"/>
        </w:rPr>
        <w:t>Events of Default</w:t>
      </w:r>
    </w:p>
    <w:p>
      <w:pPr>
        <w:spacing w:after="0" w:line="1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If any of the following events (“</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shall occur:</w:t>
      </w:r>
    </w:p>
    <w:p>
      <w:pPr>
        <w:spacing w:after="0" w:line="207" w:lineRule="exact"/>
        <w:rPr>
          <w:sz w:val="20"/>
          <w:szCs w:val="20"/>
          <w:color w:val="auto"/>
        </w:rPr>
      </w:pPr>
    </w:p>
    <w:p>
      <w:pPr>
        <w:jc w:val="both"/>
        <w:ind w:firstLine="1241"/>
        <w:spacing w:after="0" w:line="226" w:lineRule="auto"/>
        <w:tabs>
          <w:tab w:leader="none" w:pos="1847" w:val="left"/>
        </w:tabs>
        <w:numPr>
          <w:ilvl w:val="0"/>
          <w:numId w:val="1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3" w:lineRule="exact"/>
        <w:rPr>
          <w:rFonts w:ascii="Times New Roman" w:cs="Times New Roman" w:eastAsia="Times New Roman" w:hAnsi="Times New Roman"/>
          <w:sz w:val="19"/>
          <w:szCs w:val="19"/>
          <w:color w:val="010000"/>
        </w:rPr>
      </w:pPr>
    </w:p>
    <w:p>
      <w:pPr>
        <w:jc w:val="both"/>
        <w:ind w:firstLine="1241"/>
        <w:spacing w:after="0" w:line="231" w:lineRule="auto"/>
        <w:tabs>
          <w:tab w:leader="none" w:pos="1844" w:val="left"/>
        </w:tabs>
        <w:numPr>
          <w:ilvl w:val="0"/>
          <w:numId w:val="1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42" w:lineRule="exact"/>
        <w:rPr>
          <w:rFonts w:ascii="Times New Roman" w:cs="Times New Roman" w:eastAsia="Times New Roman" w:hAnsi="Times New Roman"/>
          <w:sz w:val="19"/>
          <w:szCs w:val="19"/>
          <w:color w:val="010000"/>
        </w:rPr>
      </w:pPr>
    </w:p>
    <w:p>
      <w:pPr>
        <w:jc w:val="both"/>
        <w:ind w:firstLine="1241"/>
        <w:spacing w:after="0" w:line="219" w:lineRule="auto"/>
        <w:tabs>
          <w:tab w:leader="none" w:pos="1847" w:val="left"/>
        </w:tabs>
        <w:numPr>
          <w:ilvl w:val="0"/>
          <w:numId w:val="1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 and, such incorrect representation or warranty shall remain incorrect for a period of five (5) Business Days after written notice thereof from the Administrative Agent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lxxxiv</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23" w:lineRule="exact"/>
        <w:rPr>
          <w:sz w:val="20"/>
          <w:szCs w:val="20"/>
          <w:color w:val="auto"/>
        </w:rPr>
      </w:pPr>
    </w:p>
    <w:p>
      <w:pPr>
        <w:ind w:firstLine="1241"/>
        <w:spacing w:after="0"/>
        <w:tabs>
          <w:tab w:leader="none" w:pos="1844"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fail to observe or perform any covenant, condition or agreement contained in Section 5.02(a), 5.03 (with respect to the Borrower’s legal existence) or in Article VI;</w:t>
      </w:r>
    </w:p>
    <w:p>
      <w:pPr>
        <w:spacing w:after="0" w:line="156" w:lineRule="exact"/>
        <w:rPr>
          <w:rFonts w:ascii="Times New Roman" w:cs="Times New Roman" w:eastAsia="Times New Roman" w:hAnsi="Times New Roman"/>
          <w:sz w:val="19"/>
          <w:szCs w:val="19"/>
          <w:color w:val="010000"/>
        </w:rPr>
      </w:pPr>
    </w:p>
    <w:p>
      <w:pPr>
        <w:jc w:val="both"/>
        <w:ind w:firstLine="1241"/>
        <w:spacing w:after="0" w:line="228" w:lineRule="auto"/>
        <w:tabs>
          <w:tab w:leader="none" w:pos="1847"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observe or perform any covenant, condition or agreement contained in this Agreement (other than those specified in clause (a), (b) or (d) of this Article) or any other Loan Document, and such failure shall continue unremedied for a period of thirty</w:t>
      </w:r>
    </w:p>
    <w:p>
      <w:pPr>
        <w:ind w:left="360" w:hanging="357"/>
        <w:spacing w:after="0"/>
        <w:tabs>
          <w:tab w:leader="none" w:pos="36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notice thereof from the Administrative Agent to the Borrower (which notice will be given at the request of any Lender);</w:t>
      </w:r>
    </w:p>
    <w:p>
      <w:pPr>
        <w:spacing w:after="0" w:line="161" w:lineRule="exact"/>
        <w:rPr>
          <w:rFonts w:ascii="Times New Roman" w:cs="Times New Roman" w:eastAsia="Times New Roman" w:hAnsi="Times New Roman"/>
          <w:sz w:val="19"/>
          <w:szCs w:val="19"/>
          <w:color w:val="auto"/>
        </w:rPr>
      </w:pPr>
    </w:p>
    <w:p>
      <w:pPr>
        <w:ind w:firstLine="1241"/>
        <w:spacing w:after="0" w:line="233" w:lineRule="auto"/>
        <w:tabs>
          <w:tab w:leader="none" w:pos="1852"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or any Subsidiary shall fail to make any principal or interest payment in respect of any Material Indebtedness, when and as the same shall become due and payable and after giving effect to any applicable grace periods;</w:t>
      </w:r>
    </w:p>
    <w:p>
      <w:pPr>
        <w:spacing w:after="0" w:line="155" w:lineRule="exact"/>
        <w:rPr>
          <w:rFonts w:ascii="Times New Roman" w:cs="Times New Roman" w:eastAsia="Times New Roman" w:hAnsi="Times New Roman"/>
          <w:sz w:val="19"/>
          <w:szCs w:val="19"/>
          <w:color w:val="010000"/>
        </w:rPr>
      </w:pPr>
    </w:p>
    <w:p>
      <w:pPr>
        <w:jc w:val="both"/>
        <w:ind w:firstLine="1241"/>
        <w:spacing w:after="0" w:line="216" w:lineRule="auto"/>
        <w:tabs>
          <w:tab w:leader="none" w:pos="1844"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event or condition occurs that results in any Material Indebtedness becoming due, or that requires the prepayment, repurchase, redemption or defeasance thereof, prior to its scheduled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(g) shall not apply to (x) secured Indebtedness that becomes due as a result of the sale or transfer of the property or assets securing such Indebtedness, (y) any redemption, repurchase, conversion or settlement with respect to any Convertible Debt Security pursuant to its terms </w:t>
      </w:r>
      <w:r>
        <w:rPr>
          <w:rFonts w:ascii="Times New Roman" w:cs="Times New Roman" w:eastAsia="Times New Roman" w:hAnsi="Times New Roman"/>
          <w:sz w:val="19"/>
          <w:szCs w:val="19"/>
          <w:b w:val="1"/>
          <w:bCs w:val="1"/>
          <w:color w:val="FF0000"/>
          <w:strike w:val="1"/>
        </w:rPr>
        <w:t>(including, for the avoidance of doubt,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FF0000"/>
          <w:strike w:val="1"/>
        </w:rPr>
        <w:t>the Existing Zynga Notes Fundamental Change Conversion)</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unless such redemption, repurchase, conversion or settlement results from a default</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thereunder or an event of the type that constitutes an Event of Default or (z) any early payment requirement or unwinding or termination with respect to any Permitted Bond Hedge or other Swap Agreement;</w:t>
      </w:r>
    </w:p>
    <w:p>
      <w:pPr>
        <w:spacing w:after="0" w:line="144" w:lineRule="exact"/>
        <w:rPr>
          <w:rFonts w:ascii="Times New Roman" w:cs="Times New Roman" w:eastAsia="Times New Roman" w:hAnsi="Times New Roman"/>
          <w:sz w:val="19"/>
          <w:szCs w:val="19"/>
          <w:color w:val="010000"/>
        </w:rPr>
      </w:pPr>
    </w:p>
    <w:p>
      <w:pPr>
        <w:jc w:val="both"/>
        <w:ind w:firstLine="1241"/>
        <w:spacing w:after="0" w:line="219" w:lineRule="auto"/>
        <w:tabs>
          <w:tab w:leader="none" w:pos="1844"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involuntary proceeding shall be commenced or an involuntary petition shall be filed seeking (i) liquidation, reorganization or other relief in respect of the Borrower, any Material Domestic Subsidiary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any Material Domestic Subsidiary or any Material Foreign Subsidiary or for a substantial part of its assets, and, in any such case, such proceeding or petition shall continue undismissed for sixty (60) days or an order or decree approving or ordering any of the foregoing shall be entered;</w:t>
      </w:r>
    </w:p>
    <w:p>
      <w:pPr>
        <w:spacing w:after="0" w:line="144" w:lineRule="exact"/>
        <w:rPr>
          <w:rFonts w:ascii="Times New Roman" w:cs="Times New Roman" w:eastAsia="Times New Roman" w:hAnsi="Times New Roman"/>
          <w:sz w:val="19"/>
          <w:szCs w:val="19"/>
          <w:color w:val="010000"/>
        </w:rPr>
      </w:pPr>
    </w:p>
    <w:p>
      <w:pPr>
        <w:jc w:val="both"/>
        <w:ind w:firstLine="1241"/>
        <w:spacing w:after="0" w:line="215" w:lineRule="auto"/>
        <w:tabs>
          <w:tab w:leader="none" w:pos="1854"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any Material Domestic Subsidiary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any Material Domestic Subsidiary or any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(except to the extent that any of the foregoing is undertaken pursuant to an internal reorganization whereby all or substantially all of the assets of any Material Domestic Subsidiary or a Material Foreign Subsidiary are transferred to the Borrower or other Subsidiaries of the Borrower in connection therewith);</w:t>
      </w:r>
    </w:p>
    <w:p>
      <w:pPr>
        <w:spacing w:after="0" w:line="146" w:lineRule="exact"/>
        <w:rPr>
          <w:rFonts w:ascii="Times New Roman" w:cs="Times New Roman" w:eastAsia="Times New Roman" w:hAnsi="Times New Roman"/>
          <w:sz w:val="19"/>
          <w:szCs w:val="19"/>
          <w:color w:val="010000"/>
        </w:rPr>
      </w:pPr>
    </w:p>
    <w:p>
      <w:pPr>
        <w:ind w:firstLine="1241"/>
        <w:spacing w:after="0"/>
        <w:tabs>
          <w:tab w:leader="none" w:pos="1854"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or any Material Domestic Subsidiary shall become unable, admit in writing its inability or fail generally to pay its debts as they become due;</w:t>
      </w:r>
    </w:p>
    <w:p>
      <w:pPr>
        <w:spacing w:after="0" w:line="156" w:lineRule="exact"/>
        <w:rPr>
          <w:rFonts w:ascii="Times New Roman" w:cs="Times New Roman" w:eastAsia="Times New Roman" w:hAnsi="Times New Roman"/>
          <w:sz w:val="19"/>
          <w:szCs w:val="19"/>
          <w:color w:val="010000"/>
        </w:rPr>
      </w:pPr>
    </w:p>
    <w:p>
      <w:pPr>
        <w:jc w:val="both"/>
        <w:ind w:firstLine="1241"/>
        <w:spacing w:after="0" w:line="217" w:lineRule="auto"/>
        <w:tabs>
          <w:tab w:leader="none" w:pos="1844"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one or more judgments for the payment of money in an aggregate amount in excess of $200,000,000 (to the extent not covered by a creditworthy insurer that has not denied coverage) shall be rendered against the Borrower, any Subsidiary or any combination thereof and the same shall not have been vacated, discharged, stayed or bonded pending appeal for a period of sixty (60) consecutive days during which execution shall not be effectively stayed, or any action shall be legally taken by a judgment creditor holding a judgment in excess of $200,000,000 to attach or levy upon any assets of the Borrower or any Subsidiary to enforce any such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lxxxv</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23" w:lineRule="exact"/>
        <w:rPr>
          <w:sz w:val="20"/>
          <w:szCs w:val="20"/>
          <w:color w:val="auto"/>
        </w:rPr>
      </w:pPr>
    </w:p>
    <w:p>
      <w:pPr>
        <w:ind w:firstLine="1241"/>
        <w:spacing w:after="0"/>
        <w:tabs>
          <w:tab w:leader="none" w:pos="1854"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ERISA Event shall have occurred that, when taken together with all other ERISA Events that have occurred, could reasonably be expected to result in a Material Adverse Effect;</w:t>
      </w:r>
    </w:p>
    <w:p>
      <w:pPr>
        <w:spacing w:after="0" w:line="156"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Control shall occur; or</w:t>
      </w:r>
    </w:p>
    <w:p>
      <w:pPr>
        <w:spacing w:after="0" w:line="168" w:lineRule="exact"/>
        <w:rPr>
          <w:rFonts w:ascii="Times New Roman" w:cs="Times New Roman" w:eastAsia="Times New Roman" w:hAnsi="Times New Roman"/>
          <w:sz w:val="19"/>
          <w:szCs w:val="19"/>
          <w:color w:val="010000"/>
        </w:rPr>
      </w:pPr>
    </w:p>
    <w:p>
      <w:pPr>
        <w:jc w:val="both"/>
        <w:ind w:firstLine="1241"/>
        <w:spacing w:after="0" w:line="222" w:lineRule="auto"/>
        <w:tabs>
          <w:tab w:leader="none" w:pos="1844"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material provision of any Loan Document for any reason ceases to be valid, binding and enforceable in accordance with its terms (or the Borrower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then, and in every such event (other than an event with respect to the Borrower described in clause (h) or (i) of this Article), and at any time thereafter during the continuance of such event, the Administrative Agent may with the consent of the Required Lenders, and shall at the request of the Required Lenders,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(iii) demand the deposit of cash collateral pursuant to Section 2.06(j); and in case of any event with respect to the Borrower described in clause (h) or (i) of this Article, (i) the Commitments shall automatically terminate and the principal of the Loans then outstanding, together with accrued interest thereon and all fees and other Obligations accrued hereunder and under the other Loan Documents, shall automatically become due and payable and (ii) the Borrower’s obligation to deposit cash collateral pursuant to Section 2.06(j) shall become effective immediately, and such deposit shall become immediately due and payable, in each case of the foregoing clauses (i) or (ii),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3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010000"/>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The Administrative Agent</w:t>
      </w:r>
    </w:p>
    <w:p>
      <w:pPr>
        <w:spacing w:after="0" w:line="104"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66"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lxxxvi</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36"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8"/>
          <w:szCs w:val="18"/>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w:t>
      </w:r>
    </w:p>
    <w:p>
      <w:pPr>
        <w:spacing w:after="0" w:line="5" w:lineRule="exact"/>
        <w:rPr>
          <w:sz w:val="20"/>
          <w:szCs w:val="20"/>
          <w:color w:val="auto"/>
        </w:rPr>
      </w:pPr>
    </w:p>
    <w:p>
      <w:pPr>
        <w:ind w:firstLine="3"/>
        <w:spacing w:after="0" w:line="255" w:lineRule="auto"/>
        <w:tabs>
          <w:tab w:leader="none" w:pos="28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satisfaction of any condition set forth in Article IV or elsewhere in any Loan Document, other than to confirm receipt of items expressly required to be delivered to the Administrative Agent.</w:t>
      </w:r>
    </w:p>
    <w:p>
      <w:pPr>
        <w:spacing w:after="0" w:line="181"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2"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with the consent of the Borrower (unless an Event of Default under Section 7(a), (b), (h) or (i) has occurred and is continuing), to appoint a successor. If no successor shall have been so appointed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lxxxvii</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If the Person serving as Administrative Agent is a Defaulting Lender pursuant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the definition thereof, the Required Lenders may, to the extent permitted by applicable law, by notice in writing to the Borrower and such Person remove such Person as Administrative Agent and, with the consent of the Borrower (unless an Event of Default under Section 7(a), (b), (h) or (i) has occurred and is continuing), appoint a successor Administrative Agent which shall be a bank with an office in New York, New York, or an Affiliate of any such bank. If no such successor shall have been so appointed by the Required Lenders and shall have accepted such appointment within 30 days (the “</w:t>
      </w:r>
      <w:r>
        <w:rPr>
          <w:rFonts w:ascii="Times New Roman" w:cs="Times New Roman" w:eastAsia="Times New Roman" w:hAnsi="Times New Roman"/>
          <w:sz w:val="19"/>
          <w:szCs w:val="19"/>
          <w:u w:val="single" w:color="auto"/>
          <w:color w:val="auto"/>
        </w:rPr>
        <w:t>Removal Effective Date</w:t>
      </w:r>
      <w:r>
        <w:rPr>
          <w:rFonts w:ascii="Times New Roman" w:cs="Times New Roman" w:eastAsia="Times New Roman" w:hAnsi="Times New Roman"/>
          <w:sz w:val="19"/>
          <w:szCs w:val="19"/>
          <w:color w:val="auto"/>
        </w:rPr>
        <w:t>”), then such removal shall nonetheless become effective in accordance with such notice on the Removal Effective Date. 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or removal hereunder, the provisions of this Article and Section 9.03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2"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color w:val="auto"/>
        </w:rPr>
        <w:t>Each Lender acknowledges and agrees that the extensions of credit made hereunder are commercial loans and letters of credit and not investments in a business enterprise or securities. Each Lender further acknowledges that it is engaged in making, acquiring or holding commercial loans in the ordinary course of its business and has, independently and without reliance upon the Administrative Agent, any Arranger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68"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0000FF"/>
        </w:rPr>
        <w:t>The Lenders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lxxxviii</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w:t>
      </w:r>
      <w:r>
        <w:rPr>
          <w:rFonts w:ascii="Times New Roman" w:cs="Times New Roman" w:eastAsia="Times New Roman" w:hAnsi="Times New Roman"/>
          <w:sz w:val="19"/>
          <w:szCs w:val="19"/>
          <w:u w:val="single" w:color="auto"/>
          <w:color w:val="008000"/>
        </w:rPr>
        <w:t>the Administrative Agent and the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b w:val="1"/>
          <w:bCs w:val="1"/>
          <w:u w:val="single" w:color="auto"/>
          <w:color w:val="0000FF"/>
        </w:rPr>
        <w:t>Borrower,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the Borrower.</w:t>
      </w:r>
    </w:p>
    <w:p>
      <w:pPr>
        <w:spacing w:after="0" w:line="18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None of the Lenders, if any, identified in this Agreement as an Arranger or a Syndication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Arranger and/or Syndication Agent, as applicable, as it makes with respect to the Administrative Agent in the preceding paragraph.</w:t>
      </w:r>
    </w:p>
    <w:p>
      <w:pPr>
        <w:spacing w:after="0" w:line="185"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w:t>
      </w:r>
    </w:p>
    <w:p>
      <w:pPr>
        <w:spacing w:after="0" w:line="2" w:lineRule="exact"/>
        <w:rPr>
          <w:sz w:val="20"/>
          <w:szCs w:val="20"/>
          <w:color w:val="auto"/>
        </w:rPr>
      </w:pPr>
    </w:p>
    <w:p>
      <w:pPr>
        <w:jc w:val="both"/>
        <w:ind w:firstLine="3"/>
        <w:spacing w:after="0" w:line="255" w:lineRule="auto"/>
        <w:tabs>
          <w:tab w:leader="none" w:pos="309"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paragraph shall be conclusive, absent manifest error.</w:t>
      </w:r>
    </w:p>
    <w:p>
      <w:pPr>
        <w:spacing w:after="0" w:line="168" w:lineRule="exact"/>
        <w:rPr>
          <w:sz w:val="20"/>
          <w:szCs w:val="20"/>
          <w:color w:val="auto"/>
        </w:rPr>
      </w:pPr>
    </w:p>
    <w:p>
      <w:pPr>
        <w:jc w:val="both"/>
        <w:ind w:firstLine="1238"/>
        <w:spacing w:after="0" w:line="271" w:lineRule="auto"/>
        <w:rPr>
          <w:sz w:val="20"/>
          <w:szCs w:val="20"/>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lxxxix</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(other than any such erroneous Payment that is, and solely with respect to the amount of such erroneous Payment that is, comprised of funds received by the Administrative Agent from the Borrower or any Person acting on behalf of the Borrower for the purpose of making such erroneous Payment) shall not pay, prepay, repay, discharge or otherwise satisfy any Obligations owed by the Borrower.</w:t>
      </w:r>
    </w:p>
    <w:p>
      <w:pPr>
        <w:spacing w:after="0" w:line="18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Each party’s obligations under the preceding three paragraphs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61"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79"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19"/>
          <w:szCs w:val="19"/>
          <w:color w:val="auto"/>
        </w:rPr>
        <w:t xml:space="preserve">To the extent required by any applicable law, the Administrative Agent may withhold from any payment to any Lender an amount equivalent to any applicable withholding Tax. If the IRS or any other Governmental Authority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Loan Parties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and without limiting or expanding the obligation of the Loan Parties to do so) from and against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Times New Roman" w:cs="Times New Roman" w:eastAsia="Times New Roman" w:hAnsi="Times New Roman"/>
          <w:sz w:val="19"/>
          <w:szCs w:val="19"/>
          <w:u w:val="single" w:color="auto"/>
          <w:color w:val="auto"/>
        </w:rPr>
        <w:t>paragraph</w:t>
      </w:r>
      <w:r>
        <w:rPr>
          <w:rFonts w:ascii="Times New Roman" w:cs="Times New Roman" w:eastAsia="Times New Roman" w:hAnsi="Times New Roman"/>
          <w:sz w:val="19"/>
          <w:szCs w:val="19"/>
          <w:color w:val="auto"/>
        </w:rPr>
        <w:t>. The agreements in this paragraph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5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010000"/>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91" w:lineRule="exact"/>
        <w:rPr>
          <w:sz w:val="20"/>
          <w:szCs w:val="20"/>
          <w:color w:val="auto"/>
        </w:rPr>
      </w:pPr>
    </w:p>
    <w:p>
      <w:pPr>
        <w:jc w:val="both"/>
        <w:ind w:firstLine="1238"/>
        <w:spacing w:after="0" w:line="231" w:lineRule="auto"/>
        <w:rPr>
          <w:sz w:val="20"/>
          <w:szCs w:val="20"/>
          <w:color w:val="auto"/>
        </w:rPr>
      </w:pPr>
      <w:r>
        <w:rPr>
          <w:rFonts w:ascii="Times New Roman" w:cs="Times New Roman" w:eastAsia="Times New Roman" w:hAnsi="Times New Roman"/>
          <w:sz w:val="19"/>
          <w:szCs w:val="19"/>
          <w:color w:val="010000"/>
        </w:rPr>
        <w:t xml:space="preserve">SECTION 9.01. </w:t>
      </w:r>
      <w:r>
        <w:rPr>
          <w:rFonts w:ascii="Times New Roman" w:cs="Times New Roman" w:eastAsia="Times New Roman" w:hAnsi="Times New Roman"/>
          <w:sz w:val="19"/>
          <w:szCs w:val="19"/>
          <w:u w:val="single" w:color="auto"/>
          <w:color w:val="000000"/>
        </w:rPr>
        <w:t>Notices</w:t>
      </w:r>
      <w:r>
        <w:rPr>
          <w:rFonts w:ascii="Times New Roman" w:cs="Times New Roman" w:eastAsia="Times New Roman" w:hAnsi="Times New Roman"/>
          <w:sz w:val="19"/>
          <w:szCs w:val="19"/>
          <w:color w:val="000000"/>
        </w:rPr>
        <w:t>. (a) Except in the case of notices and other communications expressly permitted to be given by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43" w:lineRule="exact"/>
        <w:rPr>
          <w:sz w:val="20"/>
          <w:szCs w:val="20"/>
          <w:color w:val="auto"/>
        </w:rPr>
      </w:pPr>
    </w:p>
    <w:p>
      <w:pPr>
        <w:ind w:left="620" w:firstLine="621"/>
        <w:spacing w:after="0"/>
        <w:tabs>
          <w:tab w:leader="none" w:pos="1855"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Borrower, to it at Take-Two Interactive Software, Inc., 110 West 44th Street, New York, New York, 10036, Attention: General Counsel; Telephone: 646-536-2869;</w:t>
      </w:r>
    </w:p>
    <w:p>
      <w:pPr>
        <w:spacing w:after="0" w:line="156"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56"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Administrative Agent or to JPMorgan Chase Bank, N.A. in its capacity as an Issuing Bank, to JPMorgan Chase Bank, N.A., JPMorgan Loan Services, 500 Stanton Christiana Road, Ops 2, 3rd Floor Newark, DE 19713, Attention of Loan and Agency Services Group (Fax No. 1 (302) 634-3301); and</w:t>
      </w:r>
    </w:p>
    <w:p>
      <w:pPr>
        <w:spacing w:after="0" w:line="156"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any other Lender or Issuing Bank, to it at its address (or telecopy number) set forth in its Administrative Questionnaire.</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66" w:lineRule="exact"/>
        <w:rPr>
          <w:sz w:val="20"/>
          <w:szCs w:val="20"/>
          <w:color w:val="auto"/>
        </w:rPr>
      </w:pPr>
    </w:p>
    <w:p>
      <w:pPr>
        <w:jc w:val="both"/>
        <w:ind w:firstLine="1241"/>
        <w:spacing w:after="0" w:line="217" w:lineRule="auto"/>
        <w:tabs>
          <w:tab w:leader="none" w:pos="1847" w:val="left"/>
        </w:tabs>
        <w:numPr>
          <w:ilvl w:val="0"/>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Notices and other communications to the Borrower, the Lenders and the Issuing Banks hereunder may be delivered or furnished by using Approved Electronic Platforms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pursuant to Article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73"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 xml:space="preserve">Unless the Administrative Agent otherwise prescribes or as otherwise expressly set forth in this Agreement,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8" w:lineRule="exact"/>
        <w:rPr>
          <w:sz w:val="20"/>
          <w:szCs w:val="20"/>
          <w:color w:val="auto"/>
        </w:rPr>
      </w:pPr>
    </w:p>
    <w:p>
      <w:pPr>
        <w:ind w:left="1840" w:hanging="599"/>
        <w:spacing w:after="0"/>
        <w:tabs>
          <w:tab w:leader="none" w:pos="1840"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party hereto may change its address or telecopy number for notices and other communications hereunder by notice to</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other parties hereto.</w:t>
      </w:r>
    </w:p>
    <w:p>
      <w:pPr>
        <w:spacing w:after="0" w:line="161" w:lineRule="exact"/>
        <w:rPr>
          <w:rFonts w:ascii="Times New Roman" w:cs="Times New Roman" w:eastAsia="Times New Roman" w:hAnsi="Times New Roman"/>
          <w:sz w:val="19"/>
          <w:szCs w:val="19"/>
          <w:color w:val="010000"/>
        </w:rPr>
      </w:pPr>
    </w:p>
    <w:p>
      <w:pPr>
        <w:ind w:left="1860" w:hanging="619"/>
        <w:spacing w:after="0"/>
        <w:tabs>
          <w:tab w:leader="none" w:pos="1860"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ind w:left="620" w:firstLine="621"/>
        <w:spacing w:after="0" w:line="233" w:lineRule="auto"/>
        <w:tabs>
          <w:tab w:leader="none" w:pos="1855" w:val="left"/>
        </w:tabs>
        <w:numPr>
          <w:ilvl w:val="0"/>
          <w:numId w:val="1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agrees that the Administrative Agent may, but shall not be obligated to, make any Communications available to the Lenders and the Issuing Banks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xci</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9"/>
          <w:szCs w:val="19"/>
          <w:u w:val="single" w:color="auto"/>
          <w:color w:val="auto"/>
        </w:rPr>
        <w:t>Approved Electronic Platform</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621"/>
        <w:spacing w:after="0" w:line="213" w:lineRule="auto"/>
        <w:tabs>
          <w:tab w:leader="none" w:pos="1236"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50" w:lineRule="exact"/>
        <w:rPr>
          <w:rFonts w:ascii="Times New Roman" w:cs="Times New Roman" w:eastAsia="Times New Roman" w:hAnsi="Times New Roman"/>
          <w:sz w:val="19"/>
          <w:szCs w:val="19"/>
          <w:color w:val="010000"/>
        </w:rPr>
      </w:pPr>
    </w:p>
    <w:p>
      <w:pPr>
        <w:jc w:val="both"/>
        <w:ind w:firstLine="621"/>
        <w:spacing w:after="0" w:line="212" w:lineRule="auto"/>
        <w:tabs>
          <w:tab w:leader="none" w:pos="1237"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73" w:lineRule="exact"/>
        <w:rPr>
          <w:rFonts w:ascii="Times New Roman" w:cs="Times New Roman" w:eastAsia="Times New Roman" w:hAnsi="Times New Roman"/>
          <w:sz w:val="19"/>
          <w:szCs w:val="19"/>
          <w:color w:val="010000"/>
        </w:rPr>
      </w:pPr>
    </w:p>
    <w:p>
      <w:pPr>
        <w:jc w:val="both"/>
        <w:ind w:firstLine="621"/>
        <w:spacing w:after="0" w:line="254" w:lineRule="auto"/>
        <w:tabs>
          <w:tab w:leader="none" w:pos="1227"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means, collectively, any notice, demand, communication, information, document or other material provided by or on behalf of the Borrower pursuant to any Loan Document or the transactions contemplated therein which is distributed by the Administrative Agent or any Lender or any Issuing Bank by means of electronic communications pursuant to this Section, including through an Approved Electronic Platform.</w:t>
      </w:r>
    </w:p>
    <w:p>
      <w:pPr>
        <w:spacing w:after="0" w:line="170" w:lineRule="exact"/>
        <w:rPr>
          <w:rFonts w:ascii="Times New Roman" w:cs="Times New Roman" w:eastAsia="Times New Roman" w:hAnsi="Times New Roman"/>
          <w:sz w:val="19"/>
          <w:szCs w:val="19"/>
          <w:color w:val="auto"/>
        </w:rPr>
      </w:pPr>
    </w:p>
    <w:p>
      <w:pPr>
        <w:jc w:val="both"/>
        <w:ind w:firstLine="621"/>
        <w:spacing w:after="0" w:line="220" w:lineRule="auto"/>
        <w:tabs>
          <w:tab w:leader="none" w:pos="1226"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46" w:lineRule="exact"/>
        <w:rPr>
          <w:rFonts w:ascii="Times New Roman" w:cs="Times New Roman" w:eastAsia="Times New Roman" w:hAnsi="Times New Roman"/>
          <w:sz w:val="19"/>
          <w:szCs w:val="19"/>
          <w:color w:val="010000"/>
        </w:rPr>
      </w:pPr>
    </w:p>
    <w:p>
      <w:pPr>
        <w:ind w:firstLine="621"/>
        <w:spacing w:after="0"/>
        <w:tabs>
          <w:tab w:leader="none" w:pos="1227"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Lenders, each of the Issuing Banks and the Borrower agrees that the Administrative Agent may, but (except as may be required by applicable law)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xcii</w:t>
      </w:r>
    </w:p>
    <w:p>
      <w:pPr>
        <w:sectPr>
          <w:pgSz w:w="11900" w:h="16838" w:orient="portrait"/>
          <w:cols w:equalWidth="0" w:num="1">
            <w:col w:w="10620"/>
          </w:cols>
          <w:pgMar w:left="940" w:top="1440" w:right="339" w:bottom="1440" w:gutter="0" w:footer="0" w:header="0"/>
        </w:sectPr>
      </w:pPr>
    </w:p>
    <w:bookmarkStart w:id="212" w:name="page213"/>
    <w:bookmarkEnd w:id="212"/>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obligated to, store the Communications on the Approved Electronic Platform in accordance with the Administrative Agent’s generally applicable document retention procedures and policies.</w:t>
      </w:r>
    </w:p>
    <w:p>
      <w:pPr>
        <w:spacing w:after="0" w:line="156" w:lineRule="exact"/>
        <w:rPr>
          <w:sz w:val="20"/>
          <w:szCs w:val="20"/>
          <w:color w:val="auto"/>
        </w:rPr>
      </w:pPr>
    </w:p>
    <w:p>
      <w:pPr>
        <w:ind w:left="620" w:firstLine="621"/>
        <w:spacing w:after="0" w:line="233" w:lineRule="auto"/>
        <w:tabs>
          <w:tab w:leader="none" w:pos="1847" w:val="left"/>
        </w:tabs>
        <w:numPr>
          <w:ilvl w:val="0"/>
          <w:numId w:val="1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51" w:lineRule="exact"/>
        <w:rPr>
          <w:sz w:val="20"/>
          <w:szCs w:val="20"/>
          <w:color w:val="auto"/>
        </w:rPr>
      </w:pPr>
    </w:p>
    <w:p>
      <w:pPr>
        <w:ind w:left="1240"/>
        <w:spacing w:after="0"/>
        <w:tabs>
          <w:tab w:leader="none" w:pos="3080" w:val="left"/>
        </w:tabs>
        <w:rPr>
          <w:sz w:val="20"/>
          <w:szCs w:val="20"/>
          <w:color w:val="auto"/>
        </w:rPr>
      </w:pPr>
      <w:r>
        <w:rPr>
          <w:rFonts w:ascii="Times New Roman" w:cs="Times New Roman" w:eastAsia="Times New Roman" w:hAnsi="Times New Roman"/>
          <w:sz w:val="19"/>
          <w:szCs w:val="19"/>
          <w:color w:val="010000"/>
        </w:rPr>
        <w:t>SECTION 9.02.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 (a) No failure or delay by the Administrative Agent, any Issuing Bank or any</w:t>
      </w:r>
    </w:p>
    <w:p>
      <w:pPr>
        <w:spacing w:after="0" w:line="205" w:lineRule="auto"/>
        <w:rPr>
          <w:sz w:val="20"/>
          <w:szCs w:val="20"/>
          <w:color w:val="auto"/>
        </w:rPr>
      </w:pPr>
      <w:r>
        <w:rPr>
          <w:rFonts w:ascii="Times New Roman" w:cs="Times New Roman" w:eastAsia="Times New Roman" w:hAnsi="Times New Roman"/>
          <w:sz w:val="19"/>
          <w:szCs w:val="19"/>
          <w:color w:val="auto"/>
        </w:rPr>
        <w:t>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w:t>
      </w:r>
    </w:p>
    <w:p>
      <w:pPr>
        <w:spacing w:after="0" w:line="213" w:lineRule="auto"/>
        <w:rPr>
          <w:sz w:val="20"/>
          <w:szCs w:val="20"/>
          <w:color w:val="auto"/>
        </w:rPr>
      </w:pPr>
      <w:r>
        <w:rPr>
          <w:rFonts w:ascii="Times New Roman" w:cs="Times New Roman" w:eastAsia="Times New Roman" w:hAnsi="Times New Roman"/>
          <w:sz w:val="19"/>
          <w:szCs w:val="19"/>
          <w:color w:val="auto"/>
        </w:rPr>
        <w:t>further exercise thereof or the exercise of any other right or power. The rights and remedies of the Administrative Agent, the Issuing Banks and the</w:t>
      </w:r>
    </w:p>
    <w:p>
      <w:pPr>
        <w:spacing w:after="0" w:line="216" w:lineRule="auto"/>
        <w:rPr>
          <w:sz w:val="20"/>
          <w:szCs w:val="20"/>
          <w:color w:val="auto"/>
        </w:rPr>
      </w:pPr>
      <w:r>
        <w:rPr>
          <w:rFonts w:ascii="Times New Roman" w:cs="Times New Roman" w:eastAsia="Times New Roman" w:hAnsi="Times New Roman"/>
          <w:sz w:val="18"/>
          <w:szCs w:val="18"/>
          <w:color w:val="auto"/>
        </w:rPr>
        <w:t>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construed as a waiver of any Default, regardless of whether the Administrative Agent, any Lender or any Issuing Bank may have had notice or knowledge of such Default at the time.</w:t>
      </w:r>
    </w:p>
    <w:p>
      <w:pPr>
        <w:spacing w:after="0" w:line="143" w:lineRule="exact"/>
        <w:rPr>
          <w:sz w:val="20"/>
          <w:szCs w:val="20"/>
          <w:color w:val="auto"/>
        </w:rPr>
      </w:pPr>
    </w:p>
    <w:p>
      <w:pPr>
        <w:jc w:val="both"/>
        <w:ind w:firstLine="1241"/>
        <w:spacing w:after="0" w:line="210" w:lineRule="auto"/>
        <w:tabs>
          <w:tab w:leader="none" w:pos="1847" w:val="left"/>
        </w:tabs>
        <w:numPr>
          <w:ilvl w:val="1"/>
          <w:numId w:val="1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Sections 2.14(b), 2.20 and 2.23,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definition of “Leverage Ratio” in this Agreement (or defined terms used in such definition of “Leverage Ratio”)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 payments required thereby, without the written consent of each Lender or</w:t>
      </w:r>
    </w:p>
    <w:p>
      <w:pPr>
        <w:spacing w:after="0" w:line="3" w:lineRule="exact"/>
        <w:rPr>
          <w:rFonts w:ascii="Times New Roman" w:cs="Times New Roman" w:eastAsia="Times New Roman" w:hAnsi="Times New Roman"/>
          <w:sz w:val="19"/>
          <w:szCs w:val="19"/>
          <w:color w:val="010000"/>
        </w:rPr>
      </w:pPr>
    </w:p>
    <w:p>
      <w:pPr>
        <w:jc w:val="both"/>
        <w:ind w:firstLine="3"/>
        <w:spacing w:after="0" w:line="213" w:lineRule="auto"/>
        <w:tabs>
          <w:tab w:leader="none" w:pos="286"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such agreement shall amend, modify or otherwise affect the rights or duties of the Administrative Agent or any Issuing Bank hereunder without the prior written consent of the Administrative Agent or such Issuing Bank (it being understood that any change to Section 2.22 shall require the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43" w:lineRule="exact"/>
        <w:rPr>
          <w:rFonts w:ascii="Times New Roman" w:cs="Times New Roman" w:eastAsia="Times New Roman" w:hAnsi="Times New Roman"/>
          <w:sz w:val="19"/>
          <w:szCs w:val="19"/>
          <w:color w:val="auto"/>
        </w:rPr>
      </w:pPr>
    </w:p>
    <w:p>
      <w:pPr>
        <w:jc w:val="both"/>
        <w:ind w:firstLine="1241"/>
        <w:spacing w:after="0" w:line="214" w:lineRule="auto"/>
        <w:tabs>
          <w:tab w:leader="none" w:pos="1844" w:val="left"/>
        </w:tabs>
        <w:numPr>
          <w:ilvl w:val="1"/>
          <w:numId w:val="1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the foregoing, this Agreement and any other Loan Document may be amended (or amended and restated) with the written consent of the Required Lenders, the Administrative Agent and the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w:t>
      </w:r>
    </w:p>
    <w:p>
      <w:pPr>
        <w:spacing w:after="0" w:line="1" w:lineRule="exact"/>
        <w:rPr>
          <w:rFonts w:ascii="Times New Roman" w:cs="Times New Roman" w:eastAsia="Times New Roman" w:hAnsi="Times New Roman"/>
          <w:sz w:val="19"/>
          <w:szCs w:val="19"/>
          <w:color w:val="010000"/>
        </w:rPr>
      </w:pPr>
    </w:p>
    <w:p>
      <w:pPr>
        <w:ind w:left="280" w:hanging="277"/>
        <w:spacing w:after="0"/>
        <w:tabs>
          <w:tab w:leader="none" w:pos="28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include appropriately the Lenders holding such credit facilities in any determination of the Required Lenders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xciii</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23" w:lineRule="exact"/>
        <w:rPr>
          <w:sz w:val="20"/>
          <w:szCs w:val="20"/>
          <w:color w:val="auto"/>
        </w:rPr>
      </w:pPr>
    </w:p>
    <w:p>
      <w:pPr>
        <w:jc w:val="both"/>
        <w:ind w:firstLine="1241"/>
        <w:spacing w:after="0" w:line="224" w:lineRule="auto"/>
        <w:tabs>
          <w:tab w:leader="none" w:pos="1847"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(subject to the final sentence of this Section 9.02(d))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Notwithstanding anything in this Section 9.04(d) to the contrary, such replacement of a Non-Consenting Lender shall be deemed effective with respect to such Non-Consenting Lender whether or not such Non-Consenting Lender enters into an Assignment and Assumption.</w:t>
      </w:r>
    </w:p>
    <w:p>
      <w:pPr>
        <w:spacing w:after="0" w:line="144" w:lineRule="exact"/>
        <w:rPr>
          <w:rFonts w:ascii="Times New Roman" w:cs="Times New Roman" w:eastAsia="Times New Roman" w:hAnsi="Times New Roman"/>
          <w:sz w:val="18"/>
          <w:szCs w:val="18"/>
          <w:color w:val="010000"/>
        </w:rPr>
      </w:pPr>
    </w:p>
    <w:p>
      <w:pPr>
        <w:jc w:val="both"/>
        <w:ind w:firstLine="1241"/>
        <w:spacing w:after="0" w:line="231" w:lineRule="auto"/>
        <w:tabs>
          <w:tab w:leader="none" w:pos="1844" w:val="left"/>
        </w:tabs>
        <w:numPr>
          <w:ilvl w:val="0"/>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43"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9.03.</w:t>
      </w:r>
      <w:r>
        <w:rPr>
          <w:sz w:val="20"/>
          <w:szCs w:val="20"/>
          <w:color w:val="auto"/>
        </w:rPr>
        <w:tab/>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41"/>
        <w:spacing w:after="0" w:line="251" w:lineRule="auto"/>
        <w:tabs>
          <w:tab w:leader="none" w:pos="1507"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Borrower shall pay (i) all reasonable and documented out-of-pocket expenses incurred by the Administrative Agent and its Affiliates, including the reasonable fees, charges and disbursements of one primary counsel for the Administrative Agent and one local counsel in each applicable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any Issuing Bank or any Lender, including the fees, charges and disbursements of one primary counsel for the Administrative Agent, Issuing Banks and Lenders, taken as a whole, and one additional local counsel in each applicable jurisdiction for the Administrative Agent, Issuing Banks and Lenders, taken as a whole, in connection with the enforcement or protection of their rights in connection with this Agreement and any other Loan Document, including their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75" w:lineRule="exact"/>
        <w:rPr>
          <w:sz w:val="20"/>
          <w:szCs w:val="20"/>
          <w:color w:val="auto"/>
        </w:rPr>
      </w:pPr>
    </w:p>
    <w:p>
      <w:pPr>
        <w:jc w:val="both"/>
        <w:ind w:firstLine="1241"/>
        <w:spacing w:after="0" w:line="217" w:lineRule="auto"/>
        <w:tabs>
          <w:tab w:leader="none" w:pos="1847"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To the extent permitted by applicable law, (i) the Borrower shall not assert, and the Borrower hereby waives, any claim against the Administrative Agent, any Arranger, any Issuing Bank and any Lender, and any Related Party of any of the foregoing Persons (each such Person being called a “</w:t>
      </w:r>
      <w:r>
        <w:rPr>
          <w:rFonts w:ascii="Times New Roman" w:cs="Times New Roman" w:eastAsia="Times New Roman" w:hAnsi="Times New Roman"/>
          <w:sz w:val="19"/>
          <w:szCs w:val="19"/>
          <w:u w:val="single" w:color="auto"/>
          <w:color w:val="auto"/>
        </w:rPr>
        <w:t>Lender-Related Person</w:t>
      </w:r>
      <w:r>
        <w:rPr>
          <w:rFonts w:ascii="Times New Roman" w:cs="Times New Roman" w:eastAsia="Times New Roman" w:hAnsi="Times New Roman"/>
          <w:sz w:val="19"/>
          <w:szCs w:val="19"/>
          <w:color w:val="auto"/>
        </w:rPr>
        <w:t>”)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xciv</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2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or thereby, the </w:t>
      </w:r>
      <w:r>
        <w:rPr>
          <w:rFonts w:ascii="Times New Roman" w:cs="Times New Roman" w:eastAsia="Times New Roman" w:hAnsi="Times New Roman"/>
          <w:sz w:val="19"/>
          <w:szCs w:val="19"/>
          <w:b w:val="1"/>
          <w:bCs w:val="1"/>
          <w:color w:val="FF0000"/>
          <w:strike w:val="1"/>
        </w:rPr>
        <w:t>Transactions</w:t>
      </w:r>
      <w:r>
        <w:rPr>
          <w:rFonts w:ascii="Times New Roman" w:cs="Times New Roman" w:eastAsia="Times New Roman" w:hAnsi="Times New Roman"/>
          <w:sz w:val="19"/>
          <w:szCs w:val="19"/>
          <w:b w:val="1"/>
          <w:bCs w:val="1"/>
          <w:u w:val="single" w:color="auto"/>
          <w:color w:val="0000FF"/>
        </w:rPr>
        <w:t>transactions contemplated hereby or thereby</w:t>
      </w:r>
      <w:r>
        <w:rPr>
          <w:rFonts w:ascii="Times New Roman" w:cs="Times New Roman" w:eastAsia="Times New Roman" w:hAnsi="Times New Roman"/>
          <w:sz w:val="19"/>
          <w:szCs w:val="19"/>
          <w:color w:val="auto"/>
        </w:rPr>
        <w:t xml:space="preserve">, any Loan, any Letter of Credit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9.03(b) shall relieve the Borrower of any obligation it may have to indemnify an Indemnitee, as provided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9.03(c), against any special, indirect, consequential or punitive damages asserted against such Indemnitee by a third party.</w:t>
      </w:r>
    </w:p>
    <w:p>
      <w:pPr>
        <w:spacing w:after="0" w:line="161" w:lineRule="exact"/>
        <w:rPr>
          <w:sz w:val="20"/>
          <w:szCs w:val="20"/>
          <w:color w:val="auto"/>
        </w:rPr>
      </w:pPr>
    </w:p>
    <w:p>
      <w:pPr>
        <w:jc w:val="both"/>
        <w:ind w:firstLine="1241"/>
        <w:spacing w:after="0" w:line="209" w:lineRule="auto"/>
        <w:tabs>
          <w:tab w:leader="none" w:pos="1844" w:val="left"/>
        </w:tabs>
        <w:numPr>
          <w:ilvl w:val="0"/>
          <w:numId w:val="1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Borrower shall indemnify the Administrative Agent, each Issuing Bank, each Arranger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Liabilities and related expenses (which, in the case of fees, charges and disbursements of counsel, shall be limited to the reasonable and documented fees, charges and disbursements of (i) one primary counsel, and one additional local counsel in each applicable jurisdiction, for the Administrative Agent, the Lenders, their Affiliates and related Indemnitees (taken as a whole) and (ii) solely in the case of an actual or perceived conflict of interest where the Indemnitee affected by such conflict notifies the Borrower of the existence of such conflict and thereafter retains its own counsel, one other firm of counsel in each applicable jurisdiction (which may include a single firm of local counsel for all such affected Indemnitees acting in multiple jurisdictions)) incurred by or asserted against any Indemnitee resulting from any claim, litigation, investigation or proceeding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w:t>
      </w:r>
      <w:r>
        <w:rPr>
          <w:rFonts w:ascii="Times New Roman" w:cs="Times New Roman" w:eastAsia="Times New Roman" w:hAnsi="Times New Roman"/>
          <w:sz w:val="19"/>
          <w:szCs w:val="19"/>
          <w:b w:val="1"/>
          <w:bCs w:val="1"/>
          <w:color w:val="FF0000"/>
          <w:strike w:val="1"/>
        </w:rPr>
        <w:t>the Transactions or</w:t>
      </w:r>
      <w:r>
        <w:rPr>
          <w:rFonts w:ascii="Times New Roman" w:cs="Times New Roman" w:eastAsia="Times New Roman" w:hAnsi="Times New Roman"/>
          <w:sz w:val="19"/>
          <w:szCs w:val="19"/>
          <w:color w:val="auto"/>
        </w:rPr>
        <w:t xml:space="preserve"> any other transactions contemplated hereby, (iii)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(iv) any actual or alleged presence or release of Hazardous Materials on or from any property owned or operated by the Borrower or any of its Subsidiaries, or any Environmental Liability of the Borrower or any of its Subsidiaries, or (v)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(x) the gross negligence, bad faith, or willful misconduct of such Indemnitee, (y) the material breach by such Indemnitee of its express obligations under this Agreement pursuant to a claim initiated by the Borrower or (z) any dispute solely among Indemnitees (not arising as a result of an act or omission by the Borrower or any of its Subsidiaries or Affiliates) other than claims against any of the Administrative Agent or the Lenders or any of their Affiliates in its capacity or in fulfilling its role as the Administrative Agent, an Issuing Bank, an Arranger, a lead arranger, a bookrunner or any similar role under this Agreement. Each of the Administrative Agent and the Lenders hereby agrees, on behalf of itself and its related Indemnitees, that any settlement entered into by the Administrative Agent or such Lender, respectively, and its related Indemnitee in connection with a claim or proceeding for which an indemnity claim is made against the Borrower pursuant to the preceding sentence shall be so entered into in good faith and not on an arbitrary or capricious basis. This Section 9.03(c) shall not apply with respect to Taxes other than any Taxes that represent losses, claims, damages, etc., arising from any non-Tax claim.</w:t>
      </w:r>
    </w:p>
    <w:p>
      <w:pPr>
        <w:spacing w:after="0" w:line="161" w:lineRule="exact"/>
        <w:rPr>
          <w:rFonts w:ascii="Times New Roman" w:cs="Times New Roman" w:eastAsia="Times New Roman" w:hAnsi="Times New Roman"/>
          <w:sz w:val="19"/>
          <w:szCs w:val="19"/>
          <w:color w:val="010000"/>
        </w:rPr>
      </w:pPr>
    </w:p>
    <w:p>
      <w:pPr>
        <w:jc w:val="both"/>
        <w:ind w:firstLine="1241"/>
        <w:spacing w:after="0" w:line="228" w:lineRule="auto"/>
        <w:tabs>
          <w:tab w:leader="none" w:pos="1847"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xml:space="preserve">. Each Lender severally agrees to pay any amount required to be paid by the Borrower under paragraphs (a), (b) or (c)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to the Administrative Agent and each Issuing Bank and any of their respective Related Parties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(to the extent not reimbursed by the Borrower and without limiting the obligation of the Borrower to do so), ratably according to their respective percentage of the aggregate Loans and unfunded Commitments of all Lenders represented by such Lender’s Loans and unfunded Commitments (determined as of the time that the applicable unreimbursed expense or indemnity payment is sought or, if such payment is sought after the date upon which the Commitments shall have terminated and the Loans shall have been paid in full, ratably in accordance with such percentage immediately prior to such date), and agrees to indemnify and hold each Agent-Related Person harmless from and against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xcv</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2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Commitments and/or Loans, this Agreement, any of the other Loan Documents or any documents contemplated by or referred to herein or therein or the transactions contemplated hereby or thereby or any action taken or omitted by such Agent-Related Person under or in connection with any of the</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Liability or related expense, as the case may be, was incurred by or asserted against such</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 xml:space="preserve">Agent-Related Person in its capacity as such;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Lender shall be liable for the payment of any portion of such Liabilities, costs, expenses or disbursements that are found by a final and nonappealable decision of a court of competent jurisdiction to have resulted primarily from</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such Agent-Related Party’s gross negligence or willful misconduct. The agreements in this Section shall survive the termination of this Agreement and the payment of the Loans and all other amounts payable hereunder.</w:t>
      </w:r>
    </w:p>
    <w:p>
      <w:pPr>
        <w:spacing w:after="0" w:line="143" w:lineRule="exact"/>
        <w:rPr>
          <w:sz w:val="20"/>
          <w:szCs w:val="20"/>
          <w:color w:val="auto"/>
        </w:rPr>
      </w:pPr>
    </w:p>
    <w:p>
      <w:pPr>
        <w:ind w:left="1840" w:hanging="599"/>
        <w:spacing w:after="0"/>
        <w:tabs>
          <w:tab w:leader="none" w:pos="1840" w:val="left"/>
        </w:tabs>
        <w:numPr>
          <w:ilvl w:val="0"/>
          <w:numId w:val="1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All amounts due under this Section shall be payable not later than thirty (30) days after written demand therefor.</w:t>
      </w:r>
    </w:p>
    <w:p>
      <w:pPr>
        <w:spacing w:after="0" w:line="18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9.04. </w:t>
      </w:r>
      <w:r>
        <w:rPr>
          <w:rFonts w:ascii="Times New Roman" w:cs="Times New Roman" w:eastAsia="Times New Roman" w:hAnsi="Times New Roman"/>
          <w:sz w:val="19"/>
          <w:szCs w:val="19"/>
          <w:u w:val="single" w:color="auto"/>
          <w:color w:val="000000"/>
        </w:rPr>
        <w:t>Successors and Assigns</w:t>
      </w:r>
      <w:r>
        <w:rPr>
          <w:rFonts w:ascii="Times New Roman" w:cs="Times New Roman" w:eastAsia="Times New Roman" w:hAnsi="Times New Roman"/>
          <w:sz w:val="19"/>
          <w:szCs w:val="19"/>
          <w:color w:val="000000"/>
        </w:rPr>
        <w:t>. (a) The provisions of this Agreement shall be binding upon and inure to the benefit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of the parties hereto and their respective successors and assigns permitted hereby (including any Affiliate of any Issuing Bank that issues any Letter</w:t>
      </w:r>
    </w:p>
    <w:p>
      <w:pPr>
        <w:spacing w:after="0" w:line="213" w:lineRule="auto"/>
        <w:rPr>
          <w:sz w:val="20"/>
          <w:szCs w:val="20"/>
          <w:color w:val="auto"/>
        </w:rPr>
      </w:pPr>
      <w:r>
        <w:rPr>
          <w:rFonts w:ascii="Times New Roman" w:cs="Times New Roman" w:eastAsia="Times New Roman" w:hAnsi="Times New Roman"/>
          <w:sz w:val="19"/>
          <w:szCs w:val="19"/>
          <w:color w:val="auto"/>
        </w:rPr>
        <w:t>of Credit), except that (i) the Borrower may not assign or otherwise transfer any of its rights or obligations hereunder without the prior written</w:t>
      </w:r>
    </w:p>
    <w:p>
      <w:pPr>
        <w:spacing w:after="0" w:line="205" w:lineRule="auto"/>
        <w:rPr>
          <w:sz w:val="20"/>
          <w:szCs w:val="20"/>
          <w:color w:val="auto"/>
        </w:rPr>
      </w:pPr>
      <w:r>
        <w:rPr>
          <w:rFonts w:ascii="Times New Roman" w:cs="Times New Roman" w:eastAsia="Times New Roman" w:hAnsi="Times New Roman"/>
          <w:sz w:val="19"/>
          <w:szCs w:val="19"/>
          <w:color w:val="auto"/>
        </w:rPr>
        <w:t>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w:t>
      </w:r>
    </w:p>
    <w:p>
      <w:pPr>
        <w:spacing w:after="0" w:line="213" w:lineRule="auto"/>
        <w:rPr>
          <w:sz w:val="20"/>
          <w:szCs w:val="20"/>
          <w:color w:val="auto"/>
        </w:rPr>
      </w:pPr>
      <w:r>
        <w:rPr>
          <w:rFonts w:ascii="Times New Roman" w:cs="Times New Roman" w:eastAsia="Times New Roman" w:hAnsi="Times New Roman"/>
          <w:sz w:val="19"/>
          <w:szCs w:val="19"/>
          <w:color w:val="auto"/>
        </w:rPr>
        <w:t>implied, shall be construed to confer upon any Person (other than the parties hereto, their respective successors and assigns permitted hereby</w:t>
      </w:r>
    </w:p>
    <w:p>
      <w:pPr>
        <w:spacing w:after="0" w:line="205" w:lineRule="auto"/>
        <w:rPr>
          <w:sz w:val="20"/>
          <w:szCs w:val="20"/>
          <w:color w:val="auto"/>
        </w:rPr>
      </w:pPr>
      <w:r>
        <w:rPr>
          <w:rFonts w:ascii="Times New Roman" w:cs="Times New Roman" w:eastAsia="Times New Roman" w:hAnsi="Times New Roman"/>
          <w:sz w:val="19"/>
          <w:szCs w:val="19"/>
          <w:color w:val="auto"/>
        </w:rPr>
        <w:t>(including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or equitable right, remedy or claim under or by reason of this Agreement.</w:t>
      </w:r>
    </w:p>
    <w:p>
      <w:pPr>
        <w:spacing w:after="0" w:line="161" w:lineRule="exact"/>
        <w:rPr>
          <w:sz w:val="20"/>
          <w:szCs w:val="20"/>
          <w:color w:val="auto"/>
        </w:rPr>
      </w:pPr>
    </w:p>
    <w:p>
      <w:pPr>
        <w:jc w:val="both"/>
        <w:ind w:firstLine="1241"/>
        <w:spacing w:after="0" w:line="222" w:lineRule="auto"/>
        <w:tabs>
          <w:tab w:leader="none" w:pos="1847" w:val="left"/>
        </w:tabs>
        <w:numPr>
          <w:ilvl w:val="0"/>
          <w:numId w:val="1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45" w:lineRule="exact"/>
        <w:rPr>
          <w:rFonts w:ascii="Times New Roman" w:cs="Times New Roman" w:eastAsia="Times New Roman" w:hAnsi="Times New Roman"/>
          <w:sz w:val="19"/>
          <w:szCs w:val="19"/>
          <w:color w:val="010000"/>
        </w:rPr>
      </w:pPr>
    </w:p>
    <w:p>
      <w:pPr>
        <w:ind w:left="1240" w:firstLine="620"/>
        <w:spacing w:after="0"/>
        <w:tabs>
          <w:tab w:leader="none" w:pos="2469" w:val="left"/>
        </w:tabs>
        <w:numPr>
          <w:ilvl w:val="1"/>
          <w:numId w:val="1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consent of the Borrower shall be required for an assignment to a Lender, an Affiliate of a Lender, an Approved Fund or, if an Event of Default has occurred and is continuing, any other assignee; and</w:t>
      </w:r>
    </w:p>
    <w:p>
      <w:pPr>
        <w:spacing w:after="0" w:line="156" w:lineRule="exact"/>
        <w:rPr>
          <w:rFonts w:ascii="Times New Roman" w:cs="Times New Roman" w:eastAsia="Times New Roman" w:hAnsi="Times New Roman"/>
          <w:sz w:val="19"/>
          <w:szCs w:val="19"/>
          <w:color w:val="010000"/>
        </w:rPr>
      </w:pPr>
    </w:p>
    <w:p>
      <w:pPr>
        <w:ind w:left="2480" w:hanging="620"/>
        <w:spacing w:after="0"/>
        <w:tabs>
          <w:tab w:leader="none" w:pos="2480" w:val="left"/>
        </w:tabs>
        <w:numPr>
          <w:ilvl w:val="1"/>
          <w:numId w:val="1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w:t>
      </w:r>
    </w:p>
    <w:p>
      <w:pPr>
        <w:spacing w:after="0" w:line="168" w:lineRule="exact"/>
        <w:rPr>
          <w:sz w:val="20"/>
          <w:szCs w:val="20"/>
          <w:color w:val="auto"/>
        </w:rPr>
      </w:pPr>
    </w:p>
    <w:p>
      <w:pPr>
        <w:ind w:left="1860" w:hanging="619"/>
        <w:spacing w:after="0"/>
        <w:tabs>
          <w:tab w:leader="none" w:pos="1860" w:val="left"/>
        </w:tabs>
        <w:numPr>
          <w:ilvl w:val="0"/>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Assignments shall be subject to the following additional conditions:</w:t>
      </w:r>
    </w:p>
    <w:p>
      <w:pPr>
        <w:spacing w:after="0" w:line="181" w:lineRule="exact"/>
        <w:rPr>
          <w:rFonts w:ascii="Times New Roman" w:cs="Times New Roman" w:eastAsia="Times New Roman" w:hAnsi="Times New Roman"/>
          <w:sz w:val="19"/>
          <w:szCs w:val="19"/>
          <w:color w:val="010000"/>
        </w:rPr>
      </w:pPr>
    </w:p>
    <w:p>
      <w:pPr>
        <w:jc w:val="both"/>
        <w:ind w:left="1240" w:firstLine="620"/>
        <w:spacing w:after="0" w:line="217" w:lineRule="auto"/>
        <w:tabs>
          <w:tab w:leader="none" w:pos="2469" w:val="left"/>
        </w:tabs>
        <w:numPr>
          <w:ilvl w:val="1"/>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has occurred and is continuing;</w:t>
      </w:r>
    </w:p>
    <w:p>
      <w:pPr>
        <w:spacing w:after="0" w:line="155" w:lineRule="exact"/>
        <w:rPr>
          <w:rFonts w:ascii="Times New Roman" w:cs="Times New Roman" w:eastAsia="Times New Roman" w:hAnsi="Times New Roman"/>
          <w:sz w:val="19"/>
          <w:szCs w:val="19"/>
          <w:color w:val="010000"/>
        </w:rPr>
      </w:pPr>
    </w:p>
    <w:p>
      <w:pPr>
        <w:ind w:left="1240" w:firstLine="620"/>
        <w:spacing w:after="0"/>
        <w:tabs>
          <w:tab w:leader="none" w:pos="2472" w:val="left"/>
        </w:tabs>
        <w:numPr>
          <w:ilvl w:val="1"/>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partial assignment shall be made as an assignment of a proportionate part of all the assigning Lender’s rights and obligations under this Agreement, provided that this clause shall not be construed to prohibit the assignment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xcvi</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a proportionate part of all the assigning Lender’s rights and obligations in respect of Commitments or Loans;</w:t>
      </w:r>
    </w:p>
    <w:p>
      <w:pPr>
        <w:spacing w:after="0" w:line="181" w:lineRule="exact"/>
        <w:rPr>
          <w:sz w:val="20"/>
          <w:szCs w:val="20"/>
          <w:color w:val="auto"/>
        </w:rPr>
      </w:pPr>
    </w:p>
    <w:p>
      <w:pPr>
        <w:jc w:val="both"/>
        <w:ind w:left="1240" w:firstLine="620"/>
        <w:spacing w:after="0" w:line="220" w:lineRule="auto"/>
        <w:tabs>
          <w:tab w:leader="none" w:pos="2472" w:val="left"/>
        </w:tabs>
        <w:numPr>
          <w:ilvl w:val="0"/>
          <w:numId w:val="1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46" w:lineRule="exact"/>
        <w:rPr>
          <w:rFonts w:ascii="Times New Roman" w:cs="Times New Roman" w:eastAsia="Times New Roman" w:hAnsi="Times New Roman"/>
          <w:sz w:val="19"/>
          <w:szCs w:val="19"/>
          <w:color w:val="010000"/>
        </w:rPr>
      </w:pPr>
    </w:p>
    <w:p>
      <w:pPr>
        <w:jc w:val="both"/>
        <w:ind w:left="1240" w:firstLine="620"/>
        <w:spacing w:after="0" w:line="220" w:lineRule="auto"/>
        <w:tabs>
          <w:tab w:leader="none" w:pos="2469" w:val="left"/>
        </w:tabs>
        <w:numPr>
          <w:ilvl w:val="0"/>
          <w:numId w:val="1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For the purposes of this Section 9.04(b), the terms “Approved Fund” and “Ineligible Institution” have the following meanings:</w:t>
      </w:r>
    </w:p>
    <w:p>
      <w:pPr>
        <w:spacing w:after="0" w:line="22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4"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xml:space="preserve">” means (a) a natural person, (b) a Defaulting Lender or its Lender Parent, (c) the Borrower, any of its Subsidiaries or any of its Affiliates, or (d) a company, investment vehicle or trust for, or owned and operated for the primary benefit of, a natural person or relative(s)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clause (d),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$10,000,000 and a significant part of its activities consist of making or purchasing commercial loans and similar extensions of credit in the ordinary course of its business.</w:t>
      </w:r>
    </w:p>
    <w:p>
      <w:pPr>
        <w:spacing w:after="0" w:line="173" w:lineRule="exact"/>
        <w:rPr>
          <w:sz w:val="20"/>
          <w:szCs w:val="20"/>
          <w:color w:val="auto"/>
        </w:rPr>
      </w:pPr>
    </w:p>
    <w:p>
      <w:pPr>
        <w:jc w:val="both"/>
        <w:ind w:left="620" w:firstLine="621"/>
        <w:spacing w:after="0" w:line="213" w:lineRule="auto"/>
        <w:tabs>
          <w:tab w:leader="none" w:pos="1856" w:val="left"/>
        </w:tabs>
        <w:numPr>
          <w:ilvl w:val="0"/>
          <w:numId w:val="1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62" w:lineRule="exact"/>
        <w:rPr>
          <w:rFonts w:ascii="Times New Roman" w:cs="Times New Roman" w:eastAsia="Times New Roman" w:hAnsi="Times New Roman"/>
          <w:sz w:val="19"/>
          <w:szCs w:val="19"/>
          <w:color w:val="010000"/>
        </w:rPr>
      </w:pPr>
    </w:p>
    <w:p>
      <w:pPr>
        <w:jc w:val="both"/>
        <w:ind w:left="620" w:firstLine="621"/>
        <w:spacing w:after="0" w:line="226" w:lineRule="auto"/>
        <w:tabs>
          <w:tab w:leader="none" w:pos="1857" w:val="left"/>
        </w:tabs>
        <w:numPr>
          <w:ilvl w:val="0"/>
          <w:numId w:val="1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related interest) of the Loans and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xcvii</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23" w:lineRule="exact"/>
        <w:rPr>
          <w:sz w:val="20"/>
          <w:szCs w:val="20"/>
          <w:color w:val="auto"/>
        </w:rPr>
      </w:pPr>
    </w:p>
    <w:p>
      <w:pPr>
        <w:ind w:left="620"/>
        <w:spacing w:after="0" w:line="223" w:lineRule="auto"/>
        <w:rPr>
          <w:sz w:val="20"/>
          <w:szCs w:val="20"/>
          <w:color w:val="auto"/>
        </w:rPr>
      </w:pPr>
      <w:r>
        <w:rPr>
          <w:rFonts w:ascii="Times New Roman" w:cs="Times New Roman" w:eastAsia="Times New Roman" w:hAnsi="Times New Roman"/>
          <w:sz w:val="19"/>
          <w:szCs w:val="19"/>
          <w:color w:val="auto"/>
        </w:rPr>
        <w:t>Disbursements owing to, each 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 shall be conclusive absent manifest error, and the Borrower, the Administrative Agent, the Issuing Banks and the Lenders shall treat each Person</w:t>
      </w:r>
    </w:p>
    <w:p>
      <w:pPr>
        <w:spacing w:after="0" w:line="1" w:lineRule="exact"/>
        <w:rPr>
          <w:sz w:val="20"/>
          <w:szCs w:val="20"/>
          <w:color w:val="auto"/>
        </w:rPr>
      </w:pPr>
    </w:p>
    <w:p>
      <w:pPr>
        <w:ind w:left="620"/>
        <w:spacing w:after="0" w:line="205" w:lineRule="auto"/>
        <w:rPr>
          <w:sz w:val="20"/>
          <w:szCs w:val="20"/>
          <w:color w:val="auto"/>
        </w:rPr>
      </w:pPr>
      <w:r>
        <w:rPr>
          <w:rFonts w:ascii="Times New Roman" w:cs="Times New Roman" w:eastAsia="Times New Roman" w:hAnsi="Times New Roman"/>
          <w:sz w:val="19"/>
          <w:szCs w:val="19"/>
          <w:color w:val="auto"/>
        </w:rPr>
        <w:t>whose name is recorded in the Register pursuant to the terms hereof as a Lender hereunder for all purposes of this Agreement, notwithstanding notice to the contrary. The Register shall be available for inspection by the Borrower, any Issuing Bank and any Lender</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(with respect to its own Commitments and Loans), at any reasonable time and from time to time upon reasonable prior notice.</w:t>
      </w:r>
    </w:p>
    <w:p>
      <w:pPr>
        <w:spacing w:after="0" w:line="143" w:lineRule="exact"/>
        <w:rPr>
          <w:sz w:val="20"/>
          <w:szCs w:val="20"/>
          <w:color w:val="auto"/>
        </w:rPr>
      </w:pPr>
    </w:p>
    <w:p>
      <w:pPr>
        <w:ind w:left="1840" w:hanging="599"/>
        <w:spacing w:after="0"/>
        <w:tabs>
          <w:tab w:leader="none" w:pos="1840" w:val="left"/>
        </w:tabs>
        <w:numPr>
          <w:ilvl w:val="1"/>
          <w:numId w:val="1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its receipt of (x) a duly completed Assignment and Assumption executed by an assigning Lender and an assignee or</w:t>
      </w:r>
    </w:p>
    <w:p>
      <w:pPr>
        <w:ind w:left="900" w:hanging="278"/>
        <w:spacing w:after="0" w:line="212" w:lineRule="auto"/>
        <w:tabs>
          <w:tab w:leader="none" w:pos="90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applicable, an agreement incorporating an Assignment and Assumption by reference pursuant to an Approved Electronic</w:t>
      </w:r>
    </w:p>
    <w:p>
      <w:pPr>
        <w:ind w:left="620"/>
        <w:spacing w:after="0" w:line="224" w:lineRule="auto"/>
        <w:rPr>
          <w:sz w:val="20"/>
          <w:szCs w:val="20"/>
          <w:color w:val="auto"/>
        </w:rPr>
      </w:pPr>
      <w:r>
        <w:rPr>
          <w:rFonts w:ascii="Times New Roman" w:cs="Times New Roman" w:eastAsia="Times New Roman" w:hAnsi="Times New Roman"/>
          <w:sz w:val="18"/>
          <w:szCs w:val="18"/>
          <w:color w:val="auto"/>
        </w:rPr>
        <w:t>Platform as to which the Administrative Agent and the parties to the Assignment and Assumption are participants, the assignee’s completed</w:t>
      </w:r>
    </w:p>
    <w:p>
      <w:pPr>
        <w:spacing w:after="0" w:line="1" w:lineRule="exact"/>
        <w:rPr>
          <w:sz w:val="20"/>
          <w:szCs w:val="20"/>
          <w:color w:val="auto"/>
        </w:rPr>
      </w:pPr>
    </w:p>
    <w:p>
      <w:pPr>
        <w:ind w:left="620"/>
        <w:spacing w:after="0" w:line="205" w:lineRule="auto"/>
        <w:rPr>
          <w:sz w:val="20"/>
          <w:szCs w:val="20"/>
          <w:color w:val="auto"/>
        </w:rPr>
      </w:pPr>
      <w:r>
        <w:rPr>
          <w:rFonts w:ascii="Times New Roman" w:cs="Times New Roman" w:eastAsia="Times New Roman" w:hAnsi="Times New Roman"/>
          <w:sz w:val="19"/>
          <w:szCs w:val="19"/>
          <w:color w:val="auto"/>
        </w:rPr>
        <w:t>Administrative Questionnaire (unless the assignee shall already be a Lender hereunder), the processing and recordation fee referred to in paragraph (b) of this Section and any written consent to such assignment required by paragraph (b) of this Section, the Administrative</w:t>
      </w:r>
    </w:p>
    <w:p>
      <w:pPr>
        <w:spacing w:after="0" w:line="1" w:lineRule="exact"/>
        <w:rPr>
          <w:sz w:val="20"/>
          <w:szCs w:val="20"/>
          <w:color w:val="auto"/>
        </w:rPr>
      </w:pPr>
    </w:p>
    <w:p>
      <w:pPr>
        <w:jc w:val="both"/>
        <w:ind w:left="620"/>
        <w:spacing w:after="0" w:line="216" w:lineRule="auto"/>
        <w:rPr>
          <w:sz w:val="20"/>
          <w:szCs w:val="20"/>
          <w:color w:val="auto"/>
        </w:rPr>
      </w:pPr>
      <w:r>
        <w:rPr>
          <w:rFonts w:ascii="Times New Roman" w:cs="Times New Roman" w:eastAsia="Times New Roman" w:hAnsi="Times New Roman"/>
          <w:sz w:val="18"/>
          <w:szCs w:val="18"/>
          <w:color w:val="auto"/>
        </w:rPr>
        <w:t xml:space="preserve">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2.06(d) or (e), 2.07(b),</w:t>
      </w:r>
    </w:p>
    <w:p>
      <w:pPr>
        <w:ind w:left="620"/>
        <w:spacing w:after="0" w:line="213" w:lineRule="auto"/>
        <w:rPr>
          <w:sz w:val="20"/>
          <w:szCs w:val="20"/>
          <w:color w:val="auto"/>
        </w:rPr>
      </w:pPr>
      <w:r>
        <w:rPr>
          <w:rFonts w:ascii="Times New Roman" w:cs="Times New Roman" w:eastAsia="Times New Roman" w:hAnsi="Times New Roman"/>
          <w:sz w:val="19"/>
          <w:szCs w:val="19"/>
          <w:color w:val="auto"/>
        </w:rPr>
        <w:t>2.18(d) or 9.03(c), the Administrative Agent shall have no obligation to accept such Assignment and Assumption and record the</w:t>
      </w:r>
    </w:p>
    <w:p>
      <w:pPr>
        <w:spacing w:after="0" w:line="1" w:lineRule="exact"/>
        <w:rPr>
          <w:sz w:val="20"/>
          <w:szCs w:val="20"/>
          <w:color w:val="auto"/>
        </w:rPr>
      </w:pPr>
    </w:p>
    <w:p>
      <w:pPr>
        <w:ind w:left="620"/>
        <w:spacing w:after="0" w:line="222" w:lineRule="auto"/>
        <w:rPr>
          <w:sz w:val="20"/>
          <w:szCs w:val="20"/>
          <w:color w:val="auto"/>
        </w:rPr>
      </w:pPr>
      <w:r>
        <w:rPr>
          <w:rFonts w:ascii="Times New Roman" w:cs="Times New Roman" w:eastAsia="Times New Roman" w:hAnsi="Times New Roman"/>
          <w:sz w:val="19"/>
          <w:szCs w:val="19"/>
          <w:color w:val="auto"/>
        </w:rPr>
        <w:t>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6" w:lineRule="exact"/>
        <w:rPr>
          <w:sz w:val="20"/>
          <w:szCs w:val="20"/>
          <w:color w:val="auto"/>
        </w:rPr>
      </w:pPr>
    </w:p>
    <w:p>
      <w:pPr>
        <w:jc w:val="both"/>
        <w:ind w:firstLine="1241"/>
        <w:spacing w:after="0" w:line="210" w:lineRule="auto"/>
        <w:tabs>
          <w:tab w:leader="none" w:pos="1844" w:val="left"/>
        </w:tabs>
        <w:numPr>
          <w:ilvl w:val="0"/>
          <w:numId w:val="1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may, without the consent of the Borrower, the Administrative Agent or the Issuing Banks, sell participations to one or more banks or other entities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solely to the participating Lender)) to the same extent as if it were a Lender and had acquired its interest by assignment pursuant to paragraph (b) of this Section; provided that such Participant (A) shall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2.22(b) with respect to any Participant. To the extent permitted by law, each Participant also shall be entitled to the benefits of Section 9.08 as though it were a Lender, provided such Participant shall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xcviii</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interest in any Commitments, Loans, Letters of Credit or its other obligations under any Loan Document) to any Person except to the extent that such disclosure is necessary to establish that such Commitment, Loan, Letter of Credit or other obligation is in registered form under</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Agreement notwithstanding any notice to the contrary. For the avoidance of doubt, the Administrative Agent (in its capacity as Administrative Agent) shall have no responsibility for maintaining a Participant Register.</w:t>
      </w:r>
    </w:p>
    <w:p>
      <w:pPr>
        <w:spacing w:after="0" w:line="143" w:lineRule="exact"/>
        <w:rPr>
          <w:sz w:val="20"/>
          <w:szCs w:val="20"/>
          <w:color w:val="auto"/>
        </w:rPr>
      </w:pPr>
    </w:p>
    <w:p>
      <w:pPr>
        <w:jc w:val="both"/>
        <w:ind w:firstLine="1241"/>
        <w:spacing w:after="0" w:line="222" w:lineRule="auto"/>
        <w:tabs>
          <w:tab w:leader="none" w:pos="1847" w:val="left"/>
        </w:tabs>
        <w:numPr>
          <w:ilvl w:val="0"/>
          <w:numId w:val="1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59" w:lineRule="exact"/>
        <w:rPr>
          <w:sz w:val="20"/>
          <w:szCs w:val="20"/>
          <w:color w:val="auto"/>
        </w:rPr>
      </w:pPr>
    </w:p>
    <w:p>
      <w:pPr>
        <w:ind w:firstLine="1238"/>
        <w:spacing w:after="0" w:line="228" w:lineRule="auto"/>
        <w:rPr>
          <w:sz w:val="20"/>
          <w:szCs w:val="20"/>
          <w:color w:val="auto"/>
        </w:rPr>
      </w:pPr>
      <w:r>
        <w:rPr>
          <w:rFonts w:ascii="Times New Roman" w:cs="Times New Roman" w:eastAsia="Times New Roman" w:hAnsi="Times New Roman"/>
          <w:sz w:val="18"/>
          <w:szCs w:val="18"/>
          <w:color w:val="010000"/>
        </w:rPr>
        <w:t xml:space="preserve">SECTION 9.05.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All covenants, agreements, representations and warranties made by the Borrower in the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and in the certificates or other instruments delivered in connection with or pursuant to this Agreement or any other Loan Document shall</w:t>
      </w:r>
    </w:p>
    <w:p>
      <w:pPr>
        <w:spacing w:after="0" w:line="213" w:lineRule="auto"/>
        <w:rPr>
          <w:sz w:val="20"/>
          <w:szCs w:val="20"/>
          <w:color w:val="auto"/>
        </w:rPr>
      </w:pPr>
      <w:r>
        <w:rPr>
          <w:rFonts w:ascii="Times New Roman" w:cs="Times New Roman" w:eastAsia="Times New Roman" w:hAnsi="Times New Roman"/>
          <w:sz w:val="19"/>
          <w:szCs w:val="19"/>
          <w:color w:val="auto"/>
        </w:rPr>
        <w:t>be considered to have been relied upon by the other parties hereto and shall survive the execution and delivery of the Loan Documents and the</w:t>
      </w:r>
    </w:p>
    <w:p>
      <w:pPr>
        <w:spacing w:after="0" w:line="205" w:lineRule="auto"/>
        <w:rPr>
          <w:sz w:val="20"/>
          <w:szCs w:val="20"/>
          <w:color w:val="auto"/>
        </w:rPr>
      </w:pPr>
      <w:r>
        <w:rPr>
          <w:rFonts w:ascii="Times New Roman" w:cs="Times New Roman" w:eastAsia="Times New Roman" w:hAnsi="Times New Roman"/>
          <w:sz w:val="19"/>
          <w:szCs w:val="19"/>
          <w:color w:val="auto"/>
        </w:rPr>
        <w:t>making of any Loans and issuance of any Letters of Credit, regardless of any investigation made by any such other party or on its behalf and notwithstanding that the Administrative Agent, any Issuing Bank or any Lender may have had notice or knowledge of any Default or incorrect</w:t>
      </w:r>
    </w:p>
    <w:p>
      <w:pPr>
        <w:spacing w:after="0" w:line="213" w:lineRule="auto"/>
        <w:rPr>
          <w:sz w:val="20"/>
          <w:szCs w:val="20"/>
          <w:color w:val="auto"/>
        </w:rPr>
      </w:pPr>
      <w:r>
        <w:rPr>
          <w:rFonts w:ascii="Times New Roman" w:cs="Times New Roman" w:eastAsia="Times New Roman" w:hAnsi="Times New Roman"/>
          <w:sz w:val="19"/>
          <w:szCs w:val="19"/>
          <w:color w:val="auto"/>
        </w:rPr>
        <w:t>representation or warranty at the time any credit is extended hereunder, and shall continue in full force and effect as long as the principal of or any</w:t>
      </w:r>
    </w:p>
    <w:p>
      <w:pPr>
        <w:spacing w:after="0" w:line="205" w:lineRule="auto"/>
        <w:rPr>
          <w:sz w:val="20"/>
          <w:szCs w:val="20"/>
          <w:color w:val="auto"/>
        </w:rPr>
      </w:pPr>
      <w:r>
        <w:rPr>
          <w:rFonts w:ascii="Times New Roman" w:cs="Times New Roman" w:eastAsia="Times New Roman" w:hAnsi="Times New Roman"/>
          <w:sz w:val="19"/>
          <w:szCs w:val="19"/>
          <w:color w:val="auto"/>
        </w:rPr>
        <w:t>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w:t>
      </w:r>
    </w:p>
    <w:p>
      <w:pPr>
        <w:spacing w:after="0" w:line="213" w:lineRule="auto"/>
        <w:rPr>
          <w:sz w:val="20"/>
          <w:szCs w:val="20"/>
          <w:color w:val="auto"/>
        </w:rPr>
      </w:pPr>
      <w:r>
        <w:rPr>
          <w:rFonts w:ascii="Times New Roman" w:cs="Times New Roman" w:eastAsia="Times New Roman" w:hAnsi="Times New Roman"/>
          <w:sz w:val="19"/>
          <w:szCs w:val="19"/>
          <w:color w:val="auto"/>
        </w:rPr>
        <w:t>and 9.03 and Article VIII shall survive and remain in full force and effect regardless of the resignation or replacement of the Agent or any</w:t>
      </w:r>
    </w:p>
    <w:p>
      <w:pPr>
        <w:spacing w:after="0" w:line="205" w:lineRule="auto"/>
        <w:rPr>
          <w:sz w:val="20"/>
          <w:szCs w:val="20"/>
          <w:color w:val="auto"/>
        </w:rPr>
      </w:pPr>
      <w:r>
        <w:rPr>
          <w:rFonts w:ascii="Times New Roman" w:cs="Times New Roman" w:eastAsia="Times New Roman" w:hAnsi="Times New Roman"/>
          <w:sz w:val="19"/>
          <w:szCs w:val="19"/>
          <w:color w:val="auto"/>
        </w:rPr>
        <w:t>assignment of rights by, or the replacement of, a Lender, the consummation of the transactions contemplated hereby, the repayment, satisfaction or discharge of all obligations under any Loan Document, the expiration or termination of the Letters of Credit and the Commitments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termination of this Agreement or any other Loan Document or any provision hereof or thereof.</w:t>
      </w:r>
    </w:p>
    <w:p>
      <w:pPr>
        <w:spacing w:after="0" w:line="161"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9.06.</w:t>
      </w:r>
      <w:r>
        <w:rPr>
          <w:sz w:val="20"/>
          <w:szCs w:val="20"/>
          <w:color w:val="auto"/>
        </w:rPr>
        <w:tab/>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1241"/>
        <w:spacing w:after="0" w:line="216" w:lineRule="auto"/>
        <w:tabs>
          <w:tab w:leader="none" w:pos="1847" w:val="left"/>
        </w:tabs>
        <w:numPr>
          <w:ilvl w:val="0"/>
          <w:numId w:val="1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57" w:lineRule="exact"/>
        <w:rPr>
          <w:rFonts w:ascii="Times New Roman" w:cs="Times New Roman" w:eastAsia="Times New Roman" w:hAnsi="Times New Roman"/>
          <w:sz w:val="19"/>
          <w:szCs w:val="19"/>
          <w:color w:val="010000"/>
        </w:rPr>
      </w:pPr>
    </w:p>
    <w:p>
      <w:pPr>
        <w:jc w:val="both"/>
        <w:ind w:firstLine="1241"/>
        <w:spacing w:after="0" w:line="228" w:lineRule="auto"/>
        <w:tabs>
          <w:tab w:leader="none" w:pos="1844"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e-mailed .pdf or any other electronic means that reproduces an image of the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xcix</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Electronic Signatures, deliveries or the keeping of records in any electronic form (including deliveries by telecopy, emailed pdf. or any other electronic means that reproduces an image of an actual executed signature page, each of which shall be of the same legal effect, validity or</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 xml:space="preserve">enforceability as a manually executed signature, physical delivery thereof or the use of a paper-based recordkeeping system,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require the Administrative Agent to accept Electronic Signatures in any form or format without its prior written</w:t>
      </w:r>
    </w:p>
    <w:p>
      <w:pPr>
        <w:spacing w:after="0" w:line="213" w:lineRule="auto"/>
        <w:rPr>
          <w:sz w:val="20"/>
          <w:szCs w:val="20"/>
          <w:color w:val="auto"/>
        </w:rPr>
      </w:pPr>
      <w:r>
        <w:rPr>
          <w:rFonts w:ascii="Times New Roman" w:cs="Times New Roman" w:eastAsia="Times New Roman" w:hAnsi="Times New Roman"/>
          <w:sz w:val="19"/>
          <w:szCs w:val="19"/>
          <w:color w:val="auto"/>
        </w:rPr>
        <w:t>consent and pursuant to procedures approved by it; provided, further, without limiting the foregoing, (i) to the extent the Administrative Agent has</w:t>
      </w:r>
    </w:p>
    <w:p>
      <w:pPr>
        <w:spacing w:after="0" w:line="205" w:lineRule="auto"/>
        <w:rPr>
          <w:sz w:val="20"/>
          <w:szCs w:val="20"/>
          <w:color w:val="auto"/>
        </w:rPr>
      </w:pPr>
      <w:r>
        <w:rPr>
          <w:rFonts w:ascii="Times New Roman" w:cs="Times New Roman" w:eastAsia="Times New Roman" w:hAnsi="Times New Roman"/>
          <w:sz w:val="19"/>
          <w:szCs w:val="19"/>
          <w:color w:val="auto"/>
        </w:rPr>
        <w:t>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w:t>
      </w:r>
    </w:p>
    <w:p>
      <w:pPr>
        <w:spacing w:after="0" w:line="213" w:lineRule="auto"/>
        <w:rPr>
          <w:sz w:val="20"/>
          <w:szCs w:val="20"/>
          <w:color w:val="auto"/>
        </w:rPr>
      </w:pPr>
      <w:r>
        <w:rPr>
          <w:rFonts w:ascii="Times New Roman" w:cs="Times New Roman" w:eastAsia="Times New Roman" w:hAnsi="Times New Roman"/>
          <w:sz w:val="19"/>
          <w:szCs w:val="19"/>
          <w:color w:val="auto"/>
        </w:rPr>
        <w:t>of any such Electronic signature and (ii) upon the request of the Administrative Agent or any Lender, any Electronic Signature shall be promptly</w:t>
      </w:r>
    </w:p>
    <w:p>
      <w:pPr>
        <w:spacing w:after="0" w:line="205" w:lineRule="auto"/>
        <w:rPr>
          <w:sz w:val="20"/>
          <w:szCs w:val="20"/>
          <w:color w:val="auto"/>
        </w:rPr>
      </w:pPr>
      <w:r>
        <w:rPr>
          <w:rFonts w:ascii="Times New Roman" w:cs="Times New Roman" w:eastAsia="Times New Roman" w:hAnsi="Times New Roman"/>
          <w:sz w:val="19"/>
          <w:szCs w:val="19"/>
          <w:color w:val="auto"/>
        </w:rPr>
        <w:t>followed by a manually executed counterpart. Without limiting the generality of the foregoing, the Borrower hereby (A) agrees that, for all purposes, including without limitation, in connection with any workout, restructuring, enforcement of remedies, bankruptcy proceedings or</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w:t>
      </w:r>
    </w:p>
    <w:p>
      <w:pPr>
        <w:spacing w:after="0" w:line="213" w:lineRule="auto"/>
        <w:rPr>
          <w:sz w:val="20"/>
          <w:szCs w:val="20"/>
          <w:color w:val="auto"/>
        </w:rPr>
      </w:pPr>
      <w:r>
        <w:rPr>
          <w:rFonts w:ascii="Times New Roman" w:cs="Times New Roman" w:eastAsia="Times New Roman" w:hAnsi="Times New Roman"/>
          <w:sz w:val="19"/>
          <w:szCs w:val="19"/>
          <w:color w:val="auto"/>
        </w:rPr>
        <w:t>Document and/or any Ancillary Document shall have the same legal effect, validity and enforceability as any paper original, (B) the Administrative</w:t>
      </w:r>
    </w:p>
    <w:p>
      <w:pPr>
        <w:jc w:val="both"/>
        <w:spacing w:after="0" w:line="216" w:lineRule="auto"/>
        <w:rPr>
          <w:sz w:val="20"/>
          <w:szCs w:val="20"/>
          <w:color w:val="auto"/>
        </w:rPr>
      </w:pPr>
      <w:r>
        <w:rPr>
          <w:rFonts w:ascii="Times New Roman" w:cs="Times New Roman" w:eastAsia="Times New Roman" w:hAnsi="Times New Roman"/>
          <w:sz w:val="18"/>
          <w:szCs w:val="18"/>
          <w:color w:val="auto"/>
        </w:rPr>
        <w:t>Agent and each of the Lenders may, at its option, create one or more copies of this Agreement, any other Loan Document and/or any Ancillary Document in the form of an imaged electronic record in any format, which shall be deemed created in the ordinary course of such Person’s business,</w:t>
      </w:r>
    </w:p>
    <w:p>
      <w:pPr>
        <w:spacing w:after="0" w:line="213" w:lineRule="auto"/>
        <w:rPr>
          <w:sz w:val="20"/>
          <w:szCs w:val="20"/>
          <w:color w:val="auto"/>
        </w:rPr>
      </w:pPr>
      <w:r>
        <w:rPr>
          <w:rFonts w:ascii="Times New Roman" w:cs="Times New Roman" w:eastAsia="Times New Roman" w:hAnsi="Times New Roman"/>
          <w:sz w:val="19"/>
          <w:szCs w:val="19"/>
          <w:color w:val="auto"/>
        </w:rPr>
        <w:t>and destroy the original paper document (and all such electronic records shall be considered an original for all purposes and shall have the same</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w:t>
      </w:r>
    </w:p>
    <w:p>
      <w:pPr>
        <w:spacing w:after="0" w:line="225" w:lineRule="auto"/>
        <w:rPr>
          <w:sz w:val="20"/>
          <w:szCs w:val="20"/>
          <w:color w:val="auto"/>
        </w:rPr>
      </w:pPr>
      <w:r>
        <w:rPr>
          <w:rFonts w:ascii="Times New Roman" w:cs="Times New Roman" w:eastAsia="Times New Roman" w:hAnsi="Times New Roman"/>
          <w:sz w:val="18"/>
          <w:szCs w:val="18"/>
          <w:color w:val="auto"/>
        </w:rPr>
        <w:t>Agreement, such other Loan Document and/or such Ancillary Document, respectively, including with respect to any signature pages thereto and (D)</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actual executed signature page, including any Liabilities arising as a result of the failure of the Borrower to use any available security measures in connection with the execution, delivery or transmission of any Electronic Signature.</w:t>
      </w:r>
    </w:p>
    <w:p>
      <w:pPr>
        <w:spacing w:after="0" w:line="143"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19"/>
          <w:szCs w:val="19"/>
          <w:color w:val="010000"/>
        </w:rPr>
        <w:t xml:space="preserve">SECTION 9.07. </w:t>
      </w:r>
      <w:r>
        <w:rPr>
          <w:rFonts w:ascii="Times New Roman" w:cs="Times New Roman" w:eastAsia="Times New Roman" w:hAnsi="Times New Roman"/>
          <w:sz w:val="19"/>
          <w:szCs w:val="19"/>
          <w:u w:val="single" w:color="auto"/>
          <w:color w:val="000000"/>
        </w:rPr>
        <w:t>Severability</w:t>
      </w:r>
      <w:r>
        <w:rPr>
          <w:rFonts w:ascii="Times New Roman" w:cs="Times New Roman" w:eastAsia="Times New Roman" w:hAnsi="Times New Roman"/>
          <w:sz w:val="19"/>
          <w:szCs w:val="19"/>
          <w:color w:val="000000"/>
        </w:rPr>
        <w:t>. Any provision of any Loan Document held to be invalid, illegal or unenforceable in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jurisdiction shall, as to such jurisdiction, be ineffective to the extent of such invalidity, illegality or unenforceability without affecting the validity,</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legality and enforceability of the remaining provisions thereof; and the invalidity of a particular provision in a particular jurisdiction shall not invalidate such provision in any other jurisdiction.</w:t>
      </w:r>
    </w:p>
    <w:p>
      <w:pPr>
        <w:spacing w:after="0" w:line="15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19"/>
          <w:szCs w:val="19"/>
          <w:color w:val="010000"/>
        </w:rPr>
        <w:t>SECTION 9.08.</w:t>
      </w:r>
      <w:r>
        <w:rPr>
          <w:sz w:val="20"/>
          <w:szCs w:val="20"/>
          <w:color w:val="auto"/>
        </w:rPr>
        <w:tab/>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If an Event of Default shall have occurred and be continuing, each Lender and each of its</w:t>
      </w:r>
    </w:p>
    <w:p>
      <w:pPr>
        <w:spacing w:after="0" w:line="205" w:lineRule="auto"/>
        <w:rPr>
          <w:sz w:val="20"/>
          <w:szCs w:val="20"/>
          <w:color w:val="auto"/>
        </w:rPr>
      </w:pPr>
      <w:r>
        <w:rPr>
          <w:rFonts w:ascii="Times New Roman" w:cs="Times New Roman" w:eastAsia="Times New Roman" w:hAnsi="Times New Roman"/>
          <w:sz w:val="19"/>
          <w:szCs w:val="19"/>
          <w:color w:val="auto"/>
        </w:rPr>
        <w:t>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w:t>
      </w:r>
    </w:p>
    <w:p>
      <w:pPr>
        <w:spacing w:after="0" w:line="213" w:lineRule="auto"/>
        <w:rPr>
          <w:sz w:val="20"/>
          <w:szCs w:val="20"/>
          <w:color w:val="auto"/>
        </w:rPr>
      </w:pPr>
      <w:r>
        <w:rPr>
          <w:rFonts w:ascii="Times New Roman" w:cs="Times New Roman" w:eastAsia="Times New Roman" w:hAnsi="Times New Roman"/>
          <w:sz w:val="19"/>
          <w:szCs w:val="19"/>
          <w:color w:val="auto"/>
        </w:rPr>
        <w:t>then due and outstanding owing by such Lender or Affiliate to or for the credit or the account of the Borrower against any of and all of the</w:t>
      </w:r>
    </w:p>
    <w:p>
      <w:pPr>
        <w:spacing w:after="0" w:line="205" w:lineRule="auto"/>
        <w:rPr>
          <w:sz w:val="20"/>
          <w:szCs w:val="20"/>
          <w:color w:val="auto"/>
        </w:rPr>
      </w:pPr>
      <w:r>
        <w:rPr>
          <w:rFonts w:ascii="Times New Roman" w:cs="Times New Roman" w:eastAsia="Times New Roman" w:hAnsi="Times New Roman"/>
          <w:sz w:val="19"/>
          <w:szCs w:val="19"/>
          <w:color w:val="auto"/>
        </w:rPr>
        <w:t>Obligations then due and outstanding held by such Lender, irrespective of whether or not such Lender shall have made any demand under the Loan Documents and although such obligations may be contingent or unmatured or are owed to a branch office or Affiliate of such Lender different from</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w:t>
      </w:r>
    </w:p>
    <w:p>
      <w:pPr>
        <w:spacing w:after="0" w:line="205" w:lineRule="auto"/>
        <w:rPr>
          <w:sz w:val="20"/>
          <w:szCs w:val="20"/>
          <w:color w:val="auto"/>
        </w:rPr>
      </w:pPr>
      <w:r>
        <w:rPr>
          <w:rFonts w:ascii="Times New Roman" w:cs="Times New Roman" w:eastAsia="Times New Roman" w:hAnsi="Times New Roman"/>
          <w:sz w:val="19"/>
          <w:szCs w:val="19"/>
          <w:color w:val="auto"/>
        </w:rPr>
        <w:t>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w:t>
      </w:r>
    </w:p>
    <w:p>
      <w:pPr>
        <w:spacing w:after="0" w:line="213" w:lineRule="auto"/>
        <w:rPr>
          <w:sz w:val="20"/>
          <w:szCs w:val="20"/>
          <w:color w:val="auto"/>
        </w:rPr>
      </w:pPr>
      <w:r>
        <w:rPr>
          <w:rFonts w:ascii="Times New Roman" w:cs="Times New Roman" w:eastAsia="Times New Roman" w:hAnsi="Times New Roman"/>
          <w:sz w:val="19"/>
          <w:szCs w:val="19"/>
          <w:color w:val="auto"/>
        </w:rPr>
        <w:t>deemed held in trust for the benefit of the Administrative Agent and the Lenders, and (y) the Defaulting Lender shall provide promptly to the</w:t>
      </w:r>
    </w:p>
    <w:p>
      <w:pPr>
        <w:spacing w:after="0" w:line="216" w:lineRule="auto"/>
        <w:rPr>
          <w:sz w:val="20"/>
          <w:szCs w:val="20"/>
          <w:color w:val="auto"/>
        </w:rPr>
      </w:pPr>
      <w:r>
        <w:rPr>
          <w:rFonts w:ascii="Times New Roman" w:cs="Times New Roman" w:eastAsia="Times New Roman" w:hAnsi="Times New Roman"/>
          <w:sz w:val="18"/>
          <w:szCs w:val="18"/>
          <w:color w:val="auto"/>
        </w:rPr>
        <w:t>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 may have. Each Lender agrees to notify the Borrower and the Administrative Agent promptly after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72" w:lineRule="exact"/>
        <w:rPr>
          <w:sz w:val="20"/>
          <w:szCs w:val="20"/>
          <w:color w:val="auto"/>
        </w:rPr>
      </w:pPr>
    </w:p>
    <w:p>
      <w:pPr>
        <w:ind w:left="1240"/>
        <w:spacing w:after="0"/>
        <w:tabs>
          <w:tab w:leader="none" w:pos="3080" w:val="left"/>
        </w:tabs>
        <w:rPr>
          <w:sz w:val="20"/>
          <w:szCs w:val="20"/>
          <w:color w:val="auto"/>
        </w:rPr>
      </w:pPr>
      <w:r>
        <w:rPr>
          <w:rFonts w:ascii="Times New Roman" w:cs="Times New Roman" w:eastAsia="Times New Roman" w:hAnsi="Times New Roman"/>
          <w:sz w:val="19"/>
          <w:szCs w:val="19"/>
          <w:color w:val="010000"/>
        </w:rPr>
        <w:t>SECTION 9.09.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b w:val="1"/>
          <w:bCs w:val="1"/>
          <w:color w:val="FF0000"/>
          <w:strike w:val="1"/>
        </w:rPr>
        <w:t>. (a) This Agreement and the other Loan</w:t>
      </w:r>
    </w:p>
    <w:p>
      <w:pPr>
        <w:spacing w:after="0"/>
        <w:rPr>
          <w:sz w:val="20"/>
          <w:szCs w:val="20"/>
          <w:color w:val="auto"/>
        </w:rPr>
      </w:pPr>
      <w:r>
        <w:rPr>
          <w:rFonts w:ascii="Times New Roman" w:cs="Times New Roman" w:eastAsia="Times New Roman" w:hAnsi="Times New Roman"/>
          <w:sz w:val="19"/>
          <w:szCs w:val="19"/>
          <w:b w:val="1"/>
          <w:bCs w:val="1"/>
          <w:color w:val="FF0000"/>
          <w:strike w:val="1"/>
        </w:rPr>
        <w:t>Documents shall be construed in accordance with and governed by the law of the State of New York.</w:t>
      </w:r>
    </w:p>
    <w:p>
      <w:pPr>
        <w:spacing w:after="0" w:line="157" w:lineRule="exact"/>
        <w:rPr>
          <w:sz w:val="20"/>
          <w:szCs w:val="20"/>
          <w:color w:val="auto"/>
        </w:rPr>
      </w:pPr>
    </w:p>
    <w:p>
      <w:pPr>
        <w:jc w:val="both"/>
        <w:ind w:firstLine="1241"/>
        <w:spacing w:after="0" w:line="261" w:lineRule="auto"/>
        <w:tabs>
          <w:tab w:leader="none" w:pos="1358" w:val="left"/>
        </w:tabs>
        <w:numPr>
          <w:ilvl w:val="0"/>
          <w:numId w:val="173"/>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(a) THIS AGREEMENT, THE OTHER LOAN DOCUMENTS AND ANY CLAIM, CONTROVERSY, DISPUTE OR CAUSE OF ACTION BASED UPON, ARISING OUT OF OR RELATING TO THIS AGREEMENT AND THE OTHER LOAN DOCUMENTS SHALL BE CONSTRUED AND INTERPRETED IN ACCORDANCE WITH, AND GOVERNED BY, THE LAW OF THE STATE OF NEW YORK.</w:t>
      </w:r>
    </w:p>
    <w:p>
      <w:pPr>
        <w:spacing w:after="0" w:line="162" w:lineRule="exact"/>
        <w:rPr>
          <w:sz w:val="20"/>
          <w:szCs w:val="20"/>
          <w:color w:val="auto"/>
        </w:rPr>
      </w:pPr>
    </w:p>
    <w:p>
      <w:pPr>
        <w:jc w:val="both"/>
        <w:ind w:firstLine="1241"/>
        <w:spacing w:after="0" w:line="222" w:lineRule="auto"/>
        <w:tabs>
          <w:tab w:leader="none" w:pos="1847"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45" w:lineRule="exact"/>
        <w:rPr>
          <w:rFonts w:ascii="Times New Roman" w:cs="Times New Roman" w:eastAsia="Times New Roman" w:hAnsi="Times New Roman"/>
          <w:sz w:val="19"/>
          <w:szCs w:val="19"/>
          <w:color w:val="010000"/>
        </w:rPr>
      </w:pPr>
    </w:p>
    <w:p>
      <w:pPr>
        <w:jc w:val="both"/>
        <w:ind w:firstLine="1241"/>
        <w:spacing w:after="0" w:line="213" w:lineRule="auto"/>
        <w:tabs>
          <w:tab w:leader="none" w:pos="1844"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party to this Agreement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the transactions relating hereto or thereto, or for recognition or enforcement of any judgment, and each of the parties hereto hereby irrevocably and unconditionally agrees that all claims in respect of any such action or proceeding may be (and any such claims, cross-claims or third party claims brought against the Administrative Agent or any of its Related Parties may only) heard and determined in such Federal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Documents shall affect any right that the Administrative Agent, any Issuing Bank or any Lender may otherwise have to bring any action or proceeding relating to this Agreement or any other Loan Document against the Borrower or its properties in the courts of any jurisdiction.</w:t>
      </w:r>
    </w:p>
    <w:p>
      <w:pPr>
        <w:spacing w:after="0" w:line="148" w:lineRule="exact"/>
        <w:rPr>
          <w:rFonts w:ascii="Times New Roman" w:cs="Times New Roman" w:eastAsia="Times New Roman" w:hAnsi="Times New Roman"/>
          <w:sz w:val="19"/>
          <w:szCs w:val="19"/>
          <w:color w:val="010000"/>
        </w:rPr>
      </w:pPr>
    </w:p>
    <w:p>
      <w:pPr>
        <w:jc w:val="both"/>
        <w:ind w:firstLine="1241"/>
        <w:spacing w:after="0" w:line="220" w:lineRule="auto"/>
        <w:tabs>
          <w:tab w:leader="none" w:pos="1847"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8" w:lineRule="exact"/>
        <w:rPr>
          <w:rFonts w:ascii="Times New Roman" w:cs="Times New Roman" w:eastAsia="Times New Roman" w:hAnsi="Times New Roman"/>
          <w:sz w:val="19"/>
          <w:szCs w:val="19"/>
          <w:color w:val="010000"/>
        </w:rPr>
      </w:pPr>
    </w:p>
    <w:p>
      <w:pPr>
        <w:jc w:val="both"/>
        <w:ind w:firstLine="1241"/>
        <w:spacing w:after="0" w:line="226" w:lineRule="auto"/>
        <w:tabs>
          <w:tab w:leader="none" w:pos="1844"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56" w:lineRule="exact"/>
        <w:rPr>
          <w:sz w:val="20"/>
          <w:szCs w:val="20"/>
          <w:color w:val="auto"/>
        </w:rPr>
      </w:pPr>
    </w:p>
    <w:p>
      <w:pPr>
        <w:ind w:firstLine="1238"/>
        <w:spacing w:after="0" w:line="228" w:lineRule="auto"/>
        <w:rPr>
          <w:sz w:val="20"/>
          <w:szCs w:val="20"/>
          <w:color w:val="auto"/>
        </w:rPr>
      </w:pPr>
      <w:r>
        <w:rPr>
          <w:rFonts w:ascii="Times New Roman" w:cs="Times New Roman" w:eastAsia="Times New Roman" w:hAnsi="Times New Roman"/>
          <w:sz w:val="18"/>
          <w:szCs w:val="18"/>
          <w:color w:val="010000"/>
        </w:rPr>
        <w:t xml:space="preserve">SECTION 9.10.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HERETO HEREBY WAIVES, TO THE FULLEST EXTENT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BY APPLICABLE LAW, ANY RIGHT IT MAY HAVE TO A TRIAL BY JURY IN ANY LEGAL PROCEEDING DIRECTLY OR</w:t>
      </w:r>
    </w:p>
    <w:p>
      <w:pPr>
        <w:spacing w:after="0" w:line="213" w:lineRule="auto"/>
        <w:rPr>
          <w:sz w:val="20"/>
          <w:szCs w:val="20"/>
          <w:color w:val="auto"/>
        </w:rPr>
      </w:pPr>
      <w:r>
        <w:rPr>
          <w:rFonts w:ascii="Times New Roman" w:cs="Times New Roman" w:eastAsia="Times New Roman" w:hAnsi="Times New Roman"/>
          <w:sz w:val="19"/>
          <w:szCs w:val="19"/>
          <w:color w:val="auto"/>
        </w:rPr>
        <w:t>INDIRECTLY ARISING OUT OF OR RELATING TO THIS AGREEMENT, ANY OTHER LOAN DOCUMENT OR THE TRANSACTIONS</w:t>
      </w:r>
    </w:p>
    <w:p>
      <w:pPr>
        <w:jc w:val="both"/>
        <w:spacing w:after="0" w:line="205" w:lineRule="auto"/>
        <w:rPr>
          <w:sz w:val="20"/>
          <w:szCs w:val="20"/>
          <w:color w:val="auto"/>
        </w:rPr>
      </w:pPr>
      <w:r>
        <w:rPr>
          <w:rFonts w:ascii="Times New Roman" w:cs="Times New Roman" w:eastAsia="Times New Roman" w:hAnsi="Times New Roman"/>
          <w:sz w:val="19"/>
          <w:szCs w:val="19"/>
          <w:color w:val="auto"/>
        </w:rPr>
        <w:t>CONTEMPLATED HEREBY OR THEREBY (WHETHER BASED ON CONTRACT, TORT OR ANY OTHER THEORY). EACH PARTY HERETO (A) CERTIFIES THAT NO REPRESENTATIVE, AGENT OR ATTORNEY OF ANY OTHER PARTY HAS REPRESENTED,</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EXPRESSLY OR OTHERWISE, THAT SUCH OTHER PARTY WOULD NOT, IN THE EVENT OF LITIGATION, SEEK TO ENFORCE THE FOREGOING WAIVER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23" w:lineRule="exact"/>
        <w:rPr>
          <w:sz w:val="20"/>
          <w:szCs w:val="20"/>
          <w:color w:val="auto"/>
        </w:rPr>
      </w:pPr>
    </w:p>
    <w:p>
      <w:pPr>
        <w:ind w:firstLine="3"/>
        <w:spacing w:after="0"/>
        <w:tabs>
          <w:tab w:leader="none" w:pos="292"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394" w:lineRule="exact"/>
        <w:rPr>
          <w:sz w:val="20"/>
          <w:szCs w:val="20"/>
          <w:color w:val="auto"/>
        </w:rPr>
      </w:pPr>
    </w:p>
    <w:p>
      <w:pPr>
        <w:ind w:firstLine="1238"/>
        <w:spacing w:after="0" w:line="233" w:lineRule="auto"/>
        <w:rPr>
          <w:sz w:val="20"/>
          <w:szCs w:val="20"/>
          <w:color w:val="auto"/>
        </w:rPr>
      </w:pPr>
      <w:r>
        <w:rPr>
          <w:rFonts w:ascii="Times New Roman" w:cs="Times New Roman" w:eastAsia="Times New Roman" w:hAnsi="Times New Roman"/>
          <w:sz w:val="19"/>
          <w:szCs w:val="19"/>
          <w:color w:val="010000"/>
        </w:rPr>
        <w:t xml:space="preserve">SECTION 9.11. </w:t>
      </w:r>
      <w:r>
        <w:rPr>
          <w:rFonts w:ascii="Times New Roman" w:cs="Times New Roman" w:eastAsia="Times New Roman" w:hAnsi="Times New Roman"/>
          <w:sz w:val="19"/>
          <w:szCs w:val="19"/>
          <w:u w:val="single" w:color="auto"/>
          <w:color w:val="000000"/>
        </w:rPr>
        <w:t>Headings</w:t>
      </w:r>
      <w:r>
        <w:rPr>
          <w:rFonts w:ascii="Times New Roman" w:cs="Times New Roman" w:eastAsia="Times New Roman" w:hAnsi="Times New Roman"/>
          <w:sz w:val="19"/>
          <w:szCs w:val="19"/>
          <w:color w:val="000000"/>
        </w:rPr>
        <w:t>. Article and Section headings and the Table of Contents used herein are for convenience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reference only, are not part of this Agreement and shall not affect the construction of, or be taken into consideration in interpreting, this Agreement.</w:t>
      </w:r>
    </w:p>
    <w:p>
      <w:pPr>
        <w:spacing w:after="0" w:line="151" w:lineRule="exact"/>
        <w:rPr>
          <w:sz w:val="20"/>
          <w:szCs w:val="20"/>
          <w:color w:val="auto"/>
        </w:rPr>
      </w:pPr>
    </w:p>
    <w:p>
      <w:pPr>
        <w:ind w:left="1240"/>
        <w:spacing w:after="0"/>
        <w:tabs>
          <w:tab w:leader="none" w:pos="3020" w:val="left"/>
        </w:tabs>
        <w:rPr>
          <w:sz w:val="20"/>
          <w:szCs w:val="20"/>
          <w:color w:val="auto"/>
        </w:rPr>
      </w:pPr>
      <w:r>
        <w:rPr>
          <w:rFonts w:ascii="Times New Roman" w:cs="Times New Roman" w:eastAsia="Times New Roman" w:hAnsi="Times New Roman"/>
          <w:sz w:val="19"/>
          <w:szCs w:val="19"/>
          <w:color w:val="010000"/>
        </w:rPr>
        <w:t>SECTION 9.12.</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Issuing Banks and the Lenders agrees to maintain the</w:t>
      </w:r>
    </w:p>
    <w:p>
      <w:pPr>
        <w:spacing w:after="0" w:line="205" w:lineRule="auto"/>
        <w:rPr>
          <w:sz w:val="20"/>
          <w:szCs w:val="20"/>
          <w:color w:val="auto"/>
        </w:rPr>
      </w:pPr>
      <w:r>
        <w:rPr>
          <w:rFonts w:ascii="Times New Roman" w:cs="Times New Roman" w:eastAsia="Times New Roman" w:hAnsi="Times New Roman"/>
          <w:sz w:val="19"/>
          <w:szCs w:val="19"/>
          <w:color w:val="auto"/>
        </w:rPr>
        <w:t>confidentiality of the Information (as defined below), except that Information may be disclosed (a) to its and its Affiliates’ directors, officers, employees and agents, including accountants, legal counsel and other advisors (it being understood that the Persons to whom such disclosure is</w:t>
      </w:r>
    </w:p>
    <w:p>
      <w:pPr>
        <w:spacing w:after="0" w:line="213" w:lineRule="auto"/>
        <w:rPr>
          <w:sz w:val="20"/>
          <w:szCs w:val="20"/>
          <w:color w:val="auto"/>
        </w:rPr>
      </w:pPr>
      <w:r>
        <w:rPr>
          <w:rFonts w:ascii="Times New Roman" w:cs="Times New Roman" w:eastAsia="Times New Roman" w:hAnsi="Times New Roman"/>
          <w:sz w:val="19"/>
          <w:szCs w:val="19"/>
          <w:color w:val="auto"/>
        </w:rPr>
        <w:t>made will be informed of the confidential nature of such Information and instructed to keep such Information confidential), (b) to the extent</w:t>
      </w:r>
    </w:p>
    <w:p>
      <w:pPr>
        <w:jc w:val="both"/>
        <w:spacing w:after="0" w:line="205" w:lineRule="auto"/>
        <w:rPr>
          <w:sz w:val="20"/>
          <w:szCs w:val="20"/>
          <w:color w:val="auto"/>
        </w:rPr>
      </w:pPr>
      <w:r>
        <w:rPr>
          <w:rFonts w:ascii="Times New Roman" w:cs="Times New Roman" w:eastAsia="Times New Roman" w:hAnsi="Times New Roman"/>
          <w:sz w:val="19"/>
          <w:szCs w:val="19"/>
          <w:color w:val="auto"/>
        </w:rPr>
        <w:t>requested by any regulatory authority (including any self-regulatory authority, such as the National Association of Insurance Commissioners) (in which case each of the Administrative Agent, the Issuing Banks and the Lenders agree to the extent not prohibited by applicable law, rule,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regulation or order, to inform you promptly of the disclosure thereof and to the extent practicable, prior thereto), (c) to the extent required by applicable laws, rules or regulations or by any subpoena or order or similar legal process (in which case each of the Administrative Agent, the</w:t>
      </w:r>
    </w:p>
    <w:p>
      <w:pPr>
        <w:spacing w:after="0" w:line="213" w:lineRule="auto"/>
        <w:rPr>
          <w:sz w:val="20"/>
          <w:szCs w:val="20"/>
          <w:color w:val="auto"/>
        </w:rPr>
      </w:pPr>
      <w:r>
        <w:rPr>
          <w:rFonts w:ascii="Times New Roman" w:cs="Times New Roman" w:eastAsia="Times New Roman" w:hAnsi="Times New Roman"/>
          <w:sz w:val="19"/>
          <w:szCs w:val="19"/>
          <w:color w:val="auto"/>
        </w:rPr>
        <w:t>Issuing Banks and the Lenders agree to the extent not prohibited by applicable law, rule, regulation or order, to inform you promptly of the</w:t>
      </w:r>
    </w:p>
    <w:p>
      <w:pPr>
        <w:spacing w:after="0" w:line="205" w:lineRule="auto"/>
        <w:rPr>
          <w:sz w:val="20"/>
          <w:szCs w:val="20"/>
          <w:color w:val="auto"/>
        </w:rPr>
      </w:pPr>
      <w:r>
        <w:rPr>
          <w:rFonts w:ascii="Times New Roman" w:cs="Times New Roman" w:eastAsia="Times New Roman" w:hAnsi="Times New Roman"/>
          <w:sz w:val="19"/>
          <w:szCs w:val="19"/>
          <w:color w:val="auto"/>
        </w:rPr>
        <w:t>disclosure thereof and to the extent practicable, prior thereto), (d) to any other party to this Agreement, (e) in connection with the exercise of any remedies under this Agreement or any other Loan Document or any suit action or proceeding relating to this Agreement or any other Loan</w:t>
      </w:r>
    </w:p>
    <w:p>
      <w:pPr>
        <w:spacing w:after="0" w:line="224" w:lineRule="auto"/>
        <w:rPr>
          <w:sz w:val="20"/>
          <w:szCs w:val="20"/>
          <w:color w:val="auto"/>
        </w:rPr>
      </w:pPr>
      <w:r>
        <w:rPr>
          <w:rFonts w:ascii="Times New Roman" w:cs="Times New Roman" w:eastAsia="Times New Roman" w:hAnsi="Times New Roman"/>
          <w:sz w:val="18"/>
          <w:szCs w:val="18"/>
          <w:color w:val="auto"/>
        </w:rPr>
        <w:t>Document or the enforcement of rights hereunder or thereunder, (f) subject to an agreement containing provisions substantially the same as those of</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w:t>
      </w:r>
    </w:p>
    <w:p>
      <w:pPr>
        <w:spacing w:after="0" w:line="213" w:lineRule="auto"/>
        <w:rPr>
          <w:sz w:val="20"/>
          <w:szCs w:val="20"/>
          <w:color w:val="auto"/>
        </w:rPr>
      </w:pPr>
      <w:r>
        <w:rPr>
          <w:rFonts w:ascii="Times New Roman" w:cs="Times New Roman" w:eastAsia="Times New Roman" w:hAnsi="Times New Roman"/>
          <w:sz w:val="19"/>
          <w:szCs w:val="19"/>
          <w:color w:val="auto"/>
        </w:rPr>
        <w:t>obligations or to any credit insurance provider relating to the Borrower and its obligations, (g) with the consent of the Borrower, (h) to the extent</w:t>
      </w:r>
    </w:p>
    <w:p>
      <w:pPr>
        <w:spacing w:after="0" w:line="205" w:lineRule="auto"/>
        <w:rPr>
          <w:sz w:val="20"/>
          <w:szCs w:val="20"/>
          <w:color w:val="auto"/>
        </w:rPr>
      </w:pPr>
      <w:r>
        <w:rPr>
          <w:rFonts w:ascii="Times New Roman" w:cs="Times New Roman" w:eastAsia="Times New Roman" w:hAnsi="Times New Roman"/>
          <w:sz w:val="19"/>
          <w:szCs w:val="19"/>
          <w:color w:val="auto"/>
        </w:rPr>
        <w:t>that such information is independently developed by the Administrative Agent, any Issuing Bank or any Lender, without reference to any confidential Information and without violating the terms of this Agreement, (i) for purposes of establishing a defense in any legal proceeding, (j) to</w:t>
      </w:r>
    </w:p>
    <w:p>
      <w:pPr>
        <w:spacing w:after="0" w:line="224" w:lineRule="auto"/>
        <w:rPr>
          <w:sz w:val="20"/>
          <w:szCs w:val="20"/>
          <w:color w:val="auto"/>
        </w:rPr>
      </w:pPr>
      <w:r>
        <w:rPr>
          <w:rFonts w:ascii="Times New Roman" w:cs="Times New Roman" w:eastAsia="Times New Roman" w:hAnsi="Times New Roman"/>
          <w:sz w:val="18"/>
          <w:szCs w:val="18"/>
          <w:color w:val="auto"/>
        </w:rPr>
        <w:t>market data collectors and service providers providing services in connection with the administration of the Loans (such disclosure under this clause</w:t>
      </w:r>
    </w:p>
    <w:p>
      <w:pPr>
        <w:spacing w:after="0" w:line="1" w:lineRule="exact"/>
        <w:rPr>
          <w:sz w:val="20"/>
          <w:szCs w:val="20"/>
          <w:color w:val="auto"/>
        </w:rPr>
      </w:pPr>
    </w:p>
    <w:p>
      <w:pPr>
        <w:jc w:val="both"/>
        <w:ind w:firstLine="3"/>
        <w:spacing w:after="0" w:line="210" w:lineRule="auto"/>
        <w:tabs>
          <w:tab w:leader="none" w:pos="22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limited solely to this Agreement), (k) on a confidential basis to any rating agency in connection with rating the Borrower or its Subsidiaries or the credit facilities provided for herein or (k) to the extent such Information (i) becomes publicly available other than as a result of a breach of this Section or (ii) becomes available to the Administrative Agent, any Issuing Bank or any Lender on a nonconfidential basis from a source that is not, to the knowledge of the Administrative Agent, such Issuing Bank or such Lender respectively, subject to confidentiality obligations owing to the Borrower or any of its Subsidiaries and prohibiting such disclosure. Notwithstanding the foregoing, none of the Administrative Agent, any Issuing Bank or any Lender shall be required to provide notice of any permitted disclosures made in connection with any regulatory review of the Administrative Agent, such Issuing Bank or such Lender by any governmental agency or regulatory body with jurisdiction over the Administrative Agent, such Issuing Bank or such Lender, so long as such review is not specifically targeted at the Borrower or the gaming industry and notice thereof is not prohibited by applicable law, rule, regulation or order. For the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the Borrower or any Subsidiary relating to their business, other than any such information that is available to the Administrative Agent, any Issuing Bank or any Lender on a nonconfidential basis prior to disclosure by the Borrower or such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cii</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73" w:lineRule="exact"/>
        <w:rPr>
          <w:sz w:val="20"/>
          <w:szCs w:val="20"/>
          <w:color w:val="auto"/>
        </w:rPr>
      </w:pPr>
    </w:p>
    <w:p>
      <w:pPr>
        <w:jc w:val="both"/>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9.13. </w:t>
      </w:r>
      <w:r>
        <w:rPr>
          <w:rFonts w:ascii="Times New Roman" w:cs="Times New Roman" w:eastAsia="Times New Roman" w:hAnsi="Times New Roman"/>
          <w:sz w:val="19"/>
          <w:szCs w:val="19"/>
          <w:u w:val="single" w:color="auto"/>
          <w:color w:val="000000"/>
        </w:rPr>
        <w:t>USA PATRIOT Act</w:t>
      </w:r>
      <w:r>
        <w:rPr>
          <w:rFonts w:ascii="Times New Roman" w:cs="Times New Roman" w:eastAsia="Times New Roman" w:hAnsi="Times New Roman"/>
          <w:sz w:val="19"/>
          <w:szCs w:val="19"/>
          <w:color w:val="000000"/>
        </w:rPr>
        <w:t>. Each Lender that is subject to the requirements of the USA PATRIOT Act (Title III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Pub. L. 107-56 (signed into law October 26, 2001)) (the “</w:t>
      </w:r>
      <w:r>
        <w:rPr>
          <w:rFonts w:ascii="Times New Roman" w:cs="Times New Roman" w:eastAsia="Times New Roman" w:hAnsi="Times New Roman"/>
          <w:sz w:val="19"/>
          <w:szCs w:val="19"/>
          <w:u w:val="single" w:color="auto"/>
          <w:color w:val="000000"/>
        </w:rPr>
        <w:t>Patriot Act</w:t>
      </w:r>
      <w:r>
        <w:rPr>
          <w:rFonts w:ascii="Times New Roman" w:cs="Times New Roman" w:eastAsia="Times New Roman" w:hAnsi="Times New Roman"/>
          <w:sz w:val="19"/>
          <w:szCs w:val="19"/>
          <w:color w:val="000000"/>
        </w:rPr>
        <w:t>”) hereby notifies the Borrower that pursuant to the requirements of the Patriot</w:t>
      </w:r>
    </w:p>
    <w:p>
      <w:pPr>
        <w:spacing w:after="0" w:line="224" w:lineRule="auto"/>
        <w:rPr>
          <w:sz w:val="20"/>
          <w:szCs w:val="20"/>
          <w:color w:val="auto"/>
        </w:rPr>
      </w:pPr>
      <w:r>
        <w:rPr>
          <w:rFonts w:ascii="Times New Roman" w:cs="Times New Roman" w:eastAsia="Times New Roman" w:hAnsi="Times New Roman"/>
          <w:sz w:val="18"/>
          <w:szCs w:val="18"/>
          <w:color w:val="auto"/>
        </w:rPr>
        <w:t>Act and the requirements of the Beneficial Ownership Regulation, it is required to obtain, verify and record information that identifies the Borrower,</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which information includes the name and address of the Borrower and other information that will allow such Lender to identify the Borrower in accordance with the Patriot Act and the Beneficial Ownership Regulation.</w:t>
      </w:r>
    </w:p>
    <w:p>
      <w:pPr>
        <w:spacing w:after="0" w:line="151" w:lineRule="exact"/>
        <w:rPr>
          <w:sz w:val="20"/>
          <w:szCs w:val="20"/>
          <w:color w:val="auto"/>
        </w:rPr>
      </w:pPr>
    </w:p>
    <w:p>
      <w:pPr>
        <w:ind w:left="1240"/>
        <w:spacing w:after="0"/>
        <w:tabs>
          <w:tab w:leader="none" w:pos="3060" w:val="left"/>
        </w:tabs>
        <w:rPr>
          <w:sz w:val="20"/>
          <w:szCs w:val="20"/>
          <w:color w:val="auto"/>
        </w:rPr>
      </w:pPr>
      <w:r>
        <w:rPr>
          <w:rFonts w:ascii="Times New Roman" w:cs="Times New Roman" w:eastAsia="Times New Roman" w:hAnsi="Times New Roman"/>
          <w:sz w:val="19"/>
          <w:szCs w:val="19"/>
          <w:color w:val="010000"/>
        </w:rPr>
        <w:t>SECTION 9.14.</w:t>
      </w:r>
      <w:r>
        <w:rPr>
          <w:sz w:val="20"/>
          <w:szCs w:val="20"/>
          <w:color w:val="auto"/>
        </w:rPr>
        <w:tab/>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 Notwithstanding anything herein to the contrary, if at any time the interest rate</w:t>
      </w:r>
    </w:p>
    <w:p>
      <w:pPr>
        <w:jc w:val="both"/>
        <w:spacing w:after="0" w:line="216" w:lineRule="auto"/>
        <w:rPr>
          <w:sz w:val="20"/>
          <w:szCs w:val="20"/>
          <w:color w:val="auto"/>
        </w:rPr>
      </w:pPr>
      <w:r>
        <w:rPr>
          <w:rFonts w:ascii="Times New Roman" w:cs="Times New Roman" w:eastAsia="Times New Roman" w:hAnsi="Times New Roman"/>
          <w:sz w:val="18"/>
          <w:szCs w:val="18"/>
          <w:color w:val="auto"/>
        </w:rPr>
        <w:t>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w:t>
      </w:r>
    </w:p>
    <w:p>
      <w:pPr>
        <w:spacing w:after="0" w:line="213" w:lineRule="auto"/>
        <w:rPr>
          <w:sz w:val="20"/>
          <w:szCs w:val="20"/>
          <w:color w:val="auto"/>
        </w:rPr>
      </w:pPr>
      <w:r>
        <w:rPr>
          <w:rFonts w:ascii="Times New Roman" w:cs="Times New Roman" w:eastAsia="Times New Roman" w:hAnsi="Times New Roman"/>
          <w:sz w:val="19"/>
          <w:szCs w:val="19"/>
          <w:color w:val="auto"/>
        </w:rPr>
        <w:t>been payable in respect of such Loan but were not payable as a result of the operation of this Section shall be cumulated and the interest and</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Charges payable to such Lender in respect of other Loans or periods shall be increased (but not above the Maximum Rate therefor) until such cumulated amount, together with interest thereon at the Federal Funds Effective Rate to the date of repayment, shall have been received by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w:t>
      </w:r>
    </w:p>
    <w:p>
      <w:pPr>
        <w:spacing w:after="0" w:line="161" w:lineRule="exact"/>
        <w:rPr>
          <w:sz w:val="20"/>
          <w:szCs w:val="20"/>
          <w:color w:val="auto"/>
        </w:rPr>
      </w:pPr>
    </w:p>
    <w:p>
      <w:pPr>
        <w:jc w:val="both"/>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9.15. </w:t>
      </w:r>
      <w:r>
        <w:rPr>
          <w:rFonts w:ascii="Times New Roman" w:cs="Times New Roman" w:eastAsia="Times New Roman" w:hAnsi="Times New Roman"/>
          <w:sz w:val="19"/>
          <w:szCs w:val="19"/>
          <w:u w:val="single" w:color="auto"/>
          <w:color w:val="000000"/>
        </w:rPr>
        <w:t>No Advisory or Fiduciary Responsibility</w:t>
      </w:r>
      <w:r>
        <w:rPr>
          <w:rFonts w:ascii="Times New Roman" w:cs="Times New Roman" w:eastAsia="Times New Roman" w:hAnsi="Times New Roman"/>
          <w:sz w:val="19"/>
          <w:szCs w:val="19"/>
          <w:color w:val="000000"/>
        </w:rPr>
        <w:t>. In connection with all aspects of each transaction contemplated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hereby (including in connection with any amendment, waiver or other modification hereof or of any other Loan Document), each party hereto</w:t>
      </w:r>
    </w:p>
    <w:p>
      <w:pPr>
        <w:spacing w:after="0" w:line="213" w:lineRule="auto"/>
        <w:rPr>
          <w:sz w:val="20"/>
          <w:szCs w:val="20"/>
          <w:color w:val="auto"/>
        </w:rPr>
      </w:pPr>
      <w:r>
        <w:rPr>
          <w:rFonts w:ascii="Times New Roman" w:cs="Times New Roman" w:eastAsia="Times New Roman" w:hAnsi="Times New Roman"/>
          <w:sz w:val="19"/>
          <w:szCs w:val="19"/>
          <w:color w:val="auto"/>
        </w:rPr>
        <w:t>acknowledges and agrees that: (i) (A) the arranging and other services regarding this Agreement provided by the Administrative Agent, the</w:t>
      </w:r>
    </w:p>
    <w:p>
      <w:pPr>
        <w:jc w:val="both"/>
        <w:spacing w:after="0" w:line="205" w:lineRule="auto"/>
        <w:rPr>
          <w:sz w:val="20"/>
          <w:szCs w:val="20"/>
          <w:color w:val="auto"/>
        </w:rPr>
      </w:pPr>
      <w:r>
        <w:rPr>
          <w:rFonts w:ascii="Times New Roman" w:cs="Times New Roman" w:eastAsia="Times New Roman" w:hAnsi="Times New Roman"/>
          <w:sz w:val="19"/>
          <w:szCs w:val="19"/>
          <w:color w:val="auto"/>
        </w:rPr>
        <w:t>Arrangers and the Lenders are arm’s-length commercial transactions between the Borrower and its Affiliates, on the one hand, and the Administrative Agent, the Arrangers and the Lenders and their respective Affiliates, on the other hand, (B) the Borrower has consulted its own</w:t>
      </w:r>
    </w:p>
    <w:p>
      <w:pPr>
        <w:spacing w:after="0" w:line="213" w:lineRule="auto"/>
        <w:rPr>
          <w:sz w:val="20"/>
          <w:szCs w:val="20"/>
          <w:color w:val="auto"/>
        </w:rPr>
      </w:pPr>
      <w:r>
        <w:rPr>
          <w:rFonts w:ascii="Times New Roman" w:cs="Times New Roman" w:eastAsia="Times New Roman" w:hAnsi="Times New Roman"/>
          <w:sz w:val="19"/>
          <w:szCs w:val="19"/>
          <w:color w:val="auto"/>
        </w:rPr>
        <w:t>legal, accounting, regulatory and tax advisors to the extent it has deemed appropriate, and (C) the Borrower is capable of evaluating, and</w:t>
      </w:r>
    </w:p>
    <w:p>
      <w:pPr>
        <w:jc w:val="both"/>
        <w:spacing w:after="0" w:line="222" w:lineRule="auto"/>
        <w:rPr>
          <w:sz w:val="20"/>
          <w:szCs w:val="20"/>
          <w:color w:val="auto"/>
        </w:rPr>
      </w:pPr>
      <w:r>
        <w:rPr>
          <w:rFonts w:ascii="Times New Roman" w:cs="Times New Roman" w:eastAsia="Times New Roman" w:hAnsi="Times New Roman"/>
          <w:sz w:val="19"/>
          <w:szCs w:val="19"/>
          <w:color w:val="auto"/>
        </w:rPr>
        <w:t>understands and accepts, the terms, risks and conditions of the transactions contemplated hereby and by the other Loan Documents; (ii) (A) each of the Administrative Agent, the Arrangers and the Lenders and their respective Affiliates is and has been acting solely as a principal and,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ciii</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2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w:t>
      </w:r>
    </w:p>
    <w:p>
      <w:pPr>
        <w:spacing w:after="0" w:line="213" w:lineRule="auto"/>
        <w:rPr>
          <w:sz w:val="20"/>
          <w:szCs w:val="20"/>
          <w:color w:val="auto"/>
        </w:rPr>
      </w:pPr>
      <w:r>
        <w:rPr>
          <w:rFonts w:ascii="Times New Roman" w:cs="Times New Roman" w:eastAsia="Times New Roman" w:hAnsi="Times New Roman"/>
          <w:sz w:val="19"/>
          <w:szCs w:val="19"/>
          <w:color w:val="auto"/>
        </w:rPr>
        <w:t>differ from those of the Borrower and its Affiliates, and no Lender or any of its Affiliates has any obligation to disclose any of such interests to the</w:t>
      </w:r>
    </w:p>
    <w:p>
      <w:pPr>
        <w:spacing w:after="0" w:line="205" w:lineRule="auto"/>
        <w:rPr>
          <w:sz w:val="20"/>
          <w:szCs w:val="20"/>
          <w:color w:val="auto"/>
        </w:rPr>
      </w:pPr>
      <w:r>
        <w:rPr>
          <w:rFonts w:ascii="Times New Roman" w:cs="Times New Roman" w:eastAsia="Times New Roman" w:hAnsi="Times New Roman"/>
          <w:sz w:val="19"/>
          <w:szCs w:val="19"/>
          <w:color w:val="auto"/>
        </w:rPr>
        <w:t>Borrower or its Affiliates. To the fullest extent permitted by law, the Borrower agrees to forego any claims that it may have against each of the Lenders and their Affiliates with respect to any breach or alleged breach of agency or fiduciary duty in connection with any aspect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transaction contemplated hereby.</w:t>
      </w:r>
    </w:p>
    <w:p>
      <w:pPr>
        <w:spacing w:after="0" w:line="161" w:lineRule="exact"/>
        <w:rPr>
          <w:sz w:val="20"/>
          <w:szCs w:val="20"/>
          <w:color w:val="auto"/>
        </w:rPr>
      </w:pPr>
    </w:p>
    <w:p>
      <w:pPr>
        <w:ind w:firstLine="1238"/>
        <w:spacing w:after="0" w:line="216" w:lineRule="auto"/>
        <w:rPr>
          <w:sz w:val="20"/>
          <w:szCs w:val="20"/>
          <w:color w:val="auto"/>
        </w:rPr>
      </w:pPr>
      <w:r>
        <w:rPr>
          <w:rFonts w:ascii="Times New Roman" w:cs="Times New Roman" w:eastAsia="Times New Roman" w:hAnsi="Times New Roman"/>
          <w:sz w:val="19"/>
          <w:szCs w:val="19"/>
          <w:color w:val="010000"/>
        </w:rPr>
        <w:t xml:space="preserve">SECTION 9.16. </w:t>
      </w:r>
      <w:r>
        <w:rPr>
          <w:rFonts w:ascii="Times New Roman" w:cs="Times New Roman" w:eastAsia="Times New Roman" w:hAnsi="Times New Roman"/>
          <w:sz w:val="19"/>
          <w:szCs w:val="19"/>
          <w:u w:val="single" w:color="auto"/>
          <w:color w:val="000000"/>
        </w:rPr>
        <w:t>Acknowledgement and Consent to Bail-In of Affected Financial Institutions</w:t>
      </w:r>
      <w:r>
        <w:rPr>
          <w:rFonts w:ascii="Times New Roman" w:cs="Times New Roman" w:eastAsia="Times New Roman" w:hAnsi="Times New Roman"/>
          <w:sz w:val="19"/>
          <w:szCs w:val="19"/>
          <w:color w:val="000000"/>
        </w:rPr>
        <w:t>. Notwithstanding anything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contrary in any Loan Document or in any other agreement, arrangement or understanding among any such parties, each party hereto</w:t>
      </w:r>
    </w:p>
    <w:p>
      <w:pPr>
        <w:spacing w:after="0" w:line="198" w:lineRule="auto"/>
        <w:rPr>
          <w:sz w:val="20"/>
          <w:szCs w:val="20"/>
          <w:color w:val="auto"/>
        </w:rPr>
      </w:pPr>
      <w:r>
        <w:rPr>
          <w:rFonts w:ascii="Times New Roman" w:cs="Times New Roman" w:eastAsia="Times New Roman" w:hAnsi="Times New Roman"/>
          <w:sz w:val="19"/>
          <w:szCs w:val="19"/>
          <w:color w:val="auto"/>
        </w:rPr>
        <w:t>acknowledges that any liability of any Affected Financial Institution arising under any Loan Document may be subject to the Write-Down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Conversion Powers of the applicable Resolution Authority and agrees and consents to, and acknowledges and agrees to be bound by:</w:t>
      </w:r>
    </w:p>
    <w:p>
      <w:pPr>
        <w:spacing w:after="0" w:line="161" w:lineRule="exact"/>
        <w:rPr>
          <w:sz w:val="20"/>
          <w:szCs w:val="20"/>
          <w:color w:val="auto"/>
        </w:rPr>
      </w:pPr>
    </w:p>
    <w:p>
      <w:pPr>
        <w:ind w:firstLine="1241"/>
        <w:spacing w:after="0"/>
        <w:tabs>
          <w:tab w:leader="none" w:pos="1847" w:val="left"/>
        </w:tabs>
        <w:numPr>
          <w:ilvl w:val="0"/>
          <w:numId w:val="1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3" w:lineRule="exact"/>
        <w:rPr>
          <w:rFonts w:ascii="Times New Roman" w:cs="Times New Roman" w:eastAsia="Times New Roman" w:hAnsi="Times New Roman"/>
          <w:sz w:val="19"/>
          <w:szCs w:val="19"/>
          <w:color w:val="010000"/>
        </w:rPr>
      </w:pPr>
    </w:p>
    <w:p>
      <w:pPr>
        <w:ind w:left="1840" w:hanging="599"/>
        <w:spacing w:after="0"/>
        <w:tabs>
          <w:tab w:leader="none" w:pos="1840" w:val="left"/>
        </w:tabs>
        <w:numPr>
          <w:ilvl w:val="0"/>
          <w:numId w:val="1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effects of any Bail-In Action on any such liability, including, if applicable:</w:t>
      </w:r>
    </w:p>
    <w:p>
      <w:pPr>
        <w:spacing w:after="0" w:line="181" w:lineRule="exact"/>
        <w:rPr>
          <w:sz w:val="20"/>
          <w:szCs w:val="20"/>
          <w:color w:val="auto"/>
        </w:rPr>
      </w:pPr>
    </w:p>
    <w:p>
      <w:pPr>
        <w:ind w:left="1860" w:hanging="619"/>
        <w:spacing w:after="0"/>
        <w:tabs>
          <w:tab w:leader="none" w:pos="1860"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reduction in full or in part or cancellation of any such liability;</w:t>
      </w:r>
    </w:p>
    <w:p>
      <w:pPr>
        <w:spacing w:after="0" w:line="181" w:lineRule="exact"/>
        <w:rPr>
          <w:rFonts w:ascii="Times New Roman" w:cs="Times New Roman" w:eastAsia="Times New Roman" w:hAnsi="Times New Roman"/>
          <w:sz w:val="19"/>
          <w:szCs w:val="19"/>
          <w:color w:val="010000"/>
        </w:rPr>
      </w:pPr>
    </w:p>
    <w:p>
      <w:pPr>
        <w:jc w:val="both"/>
        <w:ind w:left="620" w:firstLine="621"/>
        <w:spacing w:after="0" w:line="222" w:lineRule="auto"/>
        <w:tabs>
          <w:tab w:leader="none" w:pos="1856"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5" w:lineRule="exact"/>
        <w:rPr>
          <w:rFonts w:ascii="Times New Roman" w:cs="Times New Roman" w:eastAsia="Times New Roman" w:hAnsi="Times New Roman"/>
          <w:sz w:val="19"/>
          <w:szCs w:val="19"/>
          <w:color w:val="010000"/>
        </w:rPr>
      </w:pPr>
    </w:p>
    <w:p>
      <w:pPr>
        <w:ind w:left="620" w:firstLine="621"/>
        <w:spacing w:after="0"/>
        <w:tabs>
          <w:tab w:leader="none" w:pos="1857"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41" w:lineRule="exact"/>
        <w:rPr>
          <w:sz w:val="20"/>
          <w:szCs w:val="20"/>
          <w:color w:val="auto"/>
        </w:rPr>
      </w:pPr>
    </w:p>
    <w:p>
      <w:pPr>
        <w:ind w:left="1240"/>
        <w:spacing w:after="0"/>
        <w:tabs>
          <w:tab w:leader="none" w:pos="3040" w:val="left"/>
        </w:tabs>
        <w:rPr>
          <w:sz w:val="20"/>
          <w:szCs w:val="20"/>
          <w:color w:val="auto"/>
        </w:rPr>
      </w:pPr>
      <w:r>
        <w:rPr>
          <w:rFonts w:ascii="Times New Roman" w:cs="Times New Roman" w:eastAsia="Times New Roman" w:hAnsi="Times New Roman"/>
          <w:sz w:val="21"/>
          <w:szCs w:val="21"/>
          <w:color w:val="010000"/>
        </w:rPr>
        <w:t>SECTION 9.17.</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 (a) Each Lender (x) represents and warrants, as of the date such Person became a</w:t>
      </w:r>
    </w:p>
    <w:p>
      <w:pPr>
        <w:spacing w:after="0" w:line="205" w:lineRule="auto"/>
        <w:rPr>
          <w:sz w:val="20"/>
          <w:szCs w:val="20"/>
          <w:color w:val="auto"/>
        </w:rPr>
      </w:pPr>
      <w:r>
        <w:rPr>
          <w:rFonts w:ascii="Times New Roman" w:cs="Times New Roman" w:eastAsia="Times New Roman" w:hAnsi="Times New Roman"/>
          <w:sz w:val="19"/>
          <w:szCs w:val="19"/>
          <w:color w:val="auto"/>
        </w:rPr>
        <w:t>Lender party hereto and (y) covenants, from the date such Person became a Lender party hereto to the date such Person ceases being a Lender party hereto, for the benefit of the Administrative Agent and any Arranger and their respective Affiliates, that at least one of the following is and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true:</w:t>
      </w:r>
    </w:p>
    <w:p>
      <w:pPr>
        <w:spacing w:after="0" w:line="161" w:lineRule="exact"/>
        <w:rPr>
          <w:sz w:val="20"/>
          <w:szCs w:val="20"/>
          <w:color w:val="auto"/>
        </w:rPr>
      </w:pPr>
    </w:p>
    <w:p>
      <w:pPr>
        <w:jc w:val="both"/>
        <w:ind w:left="620" w:firstLine="621"/>
        <w:spacing w:after="0" w:line="226" w:lineRule="auto"/>
        <w:tabs>
          <w:tab w:leader="none" w:pos="1855" w:val="left"/>
        </w:tabs>
        <w:numPr>
          <w:ilvl w:val="0"/>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6" w:lineRule="exact"/>
        <w:rPr>
          <w:rFonts w:ascii="Times New Roman" w:cs="Times New Roman" w:eastAsia="Times New Roman" w:hAnsi="Times New Roman"/>
          <w:sz w:val="19"/>
          <w:szCs w:val="19"/>
          <w:color w:val="010000"/>
        </w:rPr>
      </w:pPr>
    </w:p>
    <w:p>
      <w:pPr>
        <w:jc w:val="both"/>
        <w:ind w:left="620" w:firstLine="621"/>
        <w:spacing w:after="0" w:line="217" w:lineRule="auto"/>
        <w:tabs>
          <w:tab w:leader="none" w:pos="1856" w:val="left"/>
        </w:tabs>
        <w:numPr>
          <w:ilvl w:val="0"/>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civ</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23" w:lineRule="exact"/>
        <w:rPr>
          <w:sz w:val="20"/>
          <w:szCs w:val="20"/>
          <w:color w:val="auto"/>
        </w:rPr>
      </w:pPr>
    </w:p>
    <w:p>
      <w:pPr>
        <w:jc w:val="both"/>
        <w:ind w:left="620" w:firstLine="621"/>
        <w:spacing w:after="0" w:line="216" w:lineRule="auto"/>
        <w:tabs>
          <w:tab w:leader="none" w:pos="1857" w:val="left"/>
        </w:tabs>
        <w:numPr>
          <w:ilvl w:val="0"/>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7" w:lineRule="exact"/>
        <w:rPr>
          <w:rFonts w:ascii="Times New Roman" w:cs="Times New Roman" w:eastAsia="Times New Roman" w:hAnsi="Times New Roman"/>
          <w:sz w:val="19"/>
          <w:szCs w:val="19"/>
          <w:color w:val="010000"/>
        </w:rPr>
      </w:pPr>
    </w:p>
    <w:p>
      <w:pPr>
        <w:ind w:left="620" w:firstLine="621"/>
        <w:spacing w:after="0"/>
        <w:tabs>
          <w:tab w:leader="none" w:pos="1847" w:val="left"/>
        </w:tabs>
        <w:numPr>
          <w:ilvl w:val="0"/>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43" w:lineRule="exact"/>
        <w:rPr>
          <w:sz w:val="20"/>
          <w:szCs w:val="20"/>
          <w:color w:val="auto"/>
        </w:rPr>
      </w:pPr>
    </w:p>
    <w:p>
      <w:pPr>
        <w:jc w:val="both"/>
        <w:ind w:firstLine="1241"/>
        <w:spacing w:after="0" w:line="213" w:lineRule="auto"/>
        <w:tabs>
          <w:tab w:leader="none" w:pos="1847" w:val="left"/>
        </w:tabs>
        <w:numPr>
          <w:ilvl w:val="0"/>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Arranger and their respective Affiliates, and not, for the avoidance of doubt, to or for the benefit of the Borrower, that none of the Administrative Agent, 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8" w:lineRule="exact"/>
        <w:rPr>
          <w:sz w:val="20"/>
          <w:szCs w:val="20"/>
          <w:color w:val="auto"/>
        </w:rPr>
      </w:pPr>
    </w:p>
    <w:p>
      <w:pPr>
        <w:ind w:left="1240"/>
        <w:spacing w:after="0"/>
        <w:tabs>
          <w:tab w:leader="none" w:pos="3100" w:val="left"/>
        </w:tabs>
        <w:rPr>
          <w:sz w:val="20"/>
          <w:szCs w:val="20"/>
          <w:color w:val="auto"/>
        </w:rPr>
      </w:pPr>
      <w:r>
        <w:rPr>
          <w:rFonts w:ascii="Times New Roman" w:cs="Times New Roman" w:eastAsia="Times New Roman" w:hAnsi="Times New Roman"/>
          <w:sz w:val="19"/>
          <w:szCs w:val="19"/>
          <w:color w:val="010000"/>
        </w:rPr>
        <w:t>SECTION 9.18.</w:t>
      </w:r>
      <w:r>
        <w:rPr>
          <w:sz w:val="20"/>
          <w:szCs w:val="20"/>
          <w:color w:val="auto"/>
        </w:rPr>
        <w:tab/>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w:t>
      </w:r>
    </w:p>
    <w:p>
      <w:pPr>
        <w:jc w:val="both"/>
        <w:spacing w:after="0" w:line="205" w:lineRule="auto"/>
        <w:rPr>
          <w:sz w:val="20"/>
          <w:szCs w:val="20"/>
          <w:color w:val="auto"/>
        </w:rPr>
      </w:pPr>
      <w:r>
        <w:rPr>
          <w:rFonts w:ascii="Times New Roman" w:cs="Times New Roman" w:eastAsia="Times New Roman" w:hAnsi="Times New Roman"/>
          <w:sz w:val="19"/>
          <w:szCs w:val="19"/>
          <w:color w:val="auto"/>
        </w:rPr>
        <w:t>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w:t>
      </w:r>
    </w:p>
    <w:p>
      <w:pPr>
        <w:spacing w:after="0" w:line="213" w:lineRule="auto"/>
        <w:rPr>
          <w:sz w:val="20"/>
          <w:szCs w:val="20"/>
          <w:color w:val="auto"/>
        </w:rPr>
      </w:pPr>
      <w:r>
        <w:rPr>
          <w:rFonts w:ascii="Times New Roman" w:cs="Times New Roman" w:eastAsia="Times New Roman" w:hAnsi="Times New Roman"/>
          <w:sz w:val="19"/>
          <w:szCs w:val="19"/>
          <w:color w:val="auto"/>
        </w:rPr>
        <w:t>Federal Deposit Insurance Corporation under the Federal Deposit Insurance Act and Title II of the Dodd-Frank Wall Street Reform and Consumer</w:t>
      </w:r>
    </w:p>
    <w:p>
      <w:pPr>
        <w:jc w:val="both"/>
        <w:spacing w:after="0" w:line="205" w:lineRule="auto"/>
        <w:rPr>
          <w:sz w:val="20"/>
          <w:szCs w:val="20"/>
          <w:color w:val="auto"/>
        </w:rPr>
      </w:pPr>
      <w:r>
        <w:rPr>
          <w:rFonts w:ascii="Times New Roman" w:cs="Times New Roman" w:eastAsia="Times New Roman" w:hAnsi="Times New Roman"/>
          <w:sz w:val="19"/>
          <w:szCs w:val="19"/>
          <w:color w:val="auto"/>
        </w:rPr>
        <w:t>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stated to be governed by the laws of the State of New York and/or of the United States or any other state of the United States):</w:t>
      </w:r>
    </w:p>
    <w:p>
      <w:pPr>
        <w:spacing w:after="0" w:line="17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cv</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Intentionally Omitted]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cvi</w:t>
      </w:r>
    </w:p>
    <w:p>
      <w:pPr>
        <w:sectPr>
          <w:pgSz w:w="11900" w:h="16838" w:orient="portrait"/>
          <w:cols w:equalWidth="0" w:num="1">
            <w:col w:w="9019"/>
          </w:cols>
          <w:pgMar w:left="1440" w:top="1440" w:right="1440" w:bottom="1440" w:gutter="0" w:footer="0" w:header="0"/>
          <w:type w:val="continuous"/>
        </w:sectPr>
      </w:pPr>
    </w:p>
    <w:bookmarkStart w:id="226" w:name="page227"/>
    <w:bookmarkEnd w:id="226"/>
    <w:p>
      <w:pPr>
        <w:ind w:left="10220"/>
        <w:spacing w:after="0"/>
        <w:rPr>
          <w:sz w:val="20"/>
          <w:szCs w:val="20"/>
          <w:color w:val="auto"/>
        </w:rPr>
      </w:pPr>
      <w:r>
        <w:rPr>
          <w:rFonts w:ascii="Times New Roman" w:cs="Times New Roman" w:eastAsia="Times New Roman" w:hAnsi="Times New Roman"/>
          <w:sz w:val="18"/>
          <w:szCs w:val="18"/>
          <w:color w:val="auto"/>
        </w:rPr>
        <w:t>Exhibit 10.42</w:t>
      </w:r>
    </w:p>
    <w:p>
      <w:pPr>
        <w:spacing w:after="0" w:line="254"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9"/>
          <w:szCs w:val="19"/>
          <w:b w:val="1"/>
          <w:bCs w:val="1"/>
          <w:color w:val="auto"/>
        </w:rPr>
        <w:t>Certain identified information has been excluded from the exhibit because it is both (i) not material and (ii) is the type that the company treats as private or confidential.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This RECEIVABLES PURCHASE AGREEMENT (as the same now or hereafter exists,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May 19, 2025, among TAKE-TWO INTERACTIVE SOFTWARE, INC., a Delaware corporation (“</w:t>
      </w:r>
      <w:r>
        <w:rPr>
          <w:rFonts w:ascii="Times New Roman" w:cs="Times New Roman" w:eastAsia="Times New Roman" w:hAnsi="Times New Roman"/>
          <w:sz w:val="19"/>
          <w:szCs w:val="19"/>
          <w:u w:val="single" w:color="auto"/>
          <w:color w:val="auto"/>
        </w:rPr>
        <w:t>Take-Two</w:t>
      </w:r>
      <w:r>
        <w:rPr>
          <w:rFonts w:ascii="Times New Roman" w:cs="Times New Roman" w:eastAsia="Times New Roman" w:hAnsi="Times New Roman"/>
          <w:sz w:val="19"/>
          <w:szCs w:val="19"/>
          <w:color w:val="auto"/>
        </w:rPr>
        <w:t>”), ZYNGA INC., a Delaware corporation (“</w:t>
      </w:r>
      <w:r>
        <w:rPr>
          <w:rFonts w:ascii="Times New Roman" w:cs="Times New Roman" w:eastAsia="Times New Roman" w:hAnsi="Times New Roman"/>
          <w:sz w:val="19"/>
          <w:szCs w:val="19"/>
          <w:u w:val="single" w:color="auto"/>
          <w:color w:val="auto"/>
        </w:rPr>
        <w:t>Zynga</w:t>
      </w:r>
      <w:r>
        <w:rPr>
          <w:rFonts w:ascii="Times New Roman" w:cs="Times New Roman" w:eastAsia="Times New Roman" w:hAnsi="Times New Roman"/>
          <w:sz w:val="19"/>
          <w:szCs w:val="19"/>
          <w:color w:val="auto"/>
        </w:rPr>
        <w:t>” and together with Take-Two and any entity that may hereafter become party hereto as a seller, in each case together with its successors and permitted assigns, individually a “</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Sellers</w:t>
      </w:r>
      <w:r>
        <w:rPr>
          <w:rFonts w:ascii="Times New Roman" w:cs="Times New Roman" w:eastAsia="Times New Roman" w:hAnsi="Times New Roman"/>
          <w:sz w:val="19"/>
          <w:szCs w:val="19"/>
          <w:color w:val="auto"/>
        </w:rPr>
        <w:t>”), the financial institutions party hereto as purchasers from time to time (in each case together with its successors and permitted assigns, individually a “</w:t>
      </w:r>
      <w:r>
        <w:rPr>
          <w:rFonts w:ascii="Times New Roman" w:cs="Times New Roman" w:eastAsia="Times New Roman" w:hAnsi="Times New Roman"/>
          <w:sz w:val="19"/>
          <w:szCs w:val="19"/>
          <w:u w:val="single" w:color="auto"/>
          <w:color w:val="auto"/>
        </w:rPr>
        <w:t>Purchaser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Purchasers</w:t>
      </w:r>
      <w:r>
        <w:rPr>
          <w:rFonts w:ascii="Times New Roman" w:cs="Times New Roman" w:eastAsia="Times New Roman" w:hAnsi="Times New Roman"/>
          <w:sz w:val="19"/>
          <w:szCs w:val="19"/>
          <w:color w:val="auto"/>
        </w:rPr>
        <w:t>”), and WELLS FARGO BANK, N.A., a national banking association as a Purchaser and as administrative agent for the Purchasers (together with its successors and assigns,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Sellers from time to time wish to sell certain of their Eligible Receivables to one or more Purchasers, and Administrative Agent, may, from time to time, purchase on behalf of such Purchasers, at such Purchaser’s sole discretion, such Eligible Receivables upon the terms set forth in this Agreement.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Accordingly, the parties agree as follows:</w:t>
      </w:r>
    </w:p>
    <w:p>
      <w:pPr>
        <w:spacing w:after="0" w:line="19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terms have the respective meanings indicated below:</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2.1(d)(i)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Account Debtor</w:t>
      </w:r>
      <w:r>
        <w:rPr>
          <w:rFonts w:ascii="Times New Roman" w:cs="Times New Roman" w:eastAsia="Times New Roman" w:hAnsi="Times New Roman"/>
          <w:sz w:val="19"/>
          <w:szCs w:val="19"/>
          <w:color w:val="auto"/>
        </w:rPr>
        <w:t xml:space="preserve">” means each Person that is a buyer of goods and/or services from a Seller and that is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together with each additional Person that may be added as an “Account Debtor” from time to time by an Exhibit Update.</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Seller Joinder Agreement</w:t>
      </w:r>
      <w:r>
        <w:rPr>
          <w:rFonts w:ascii="Times New Roman" w:cs="Times New Roman" w:eastAsia="Times New Roman" w:hAnsi="Times New Roman"/>
          <w:sz w:val="19"/>
          <w:szCs w:val="19"/>
          <w:color w:val="auto"/>
        </w:rPr>
        <w:t xml:space="preserve">” means a joinder agreement, in substantially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or otherwise in a form reasonably acceptable to the Administrative Agent, pursuant to which an Additional Seller agrees to become a Seller under this Agreement.</w:t>
      </w:r>
    </w:p>
    <w:p>
      <w:pPr>
        <w:spacing w:after="0" w:line="16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Seller</w:t>
      </w:r>
      <w:r>
        <w:rPr>
          <w:rFonts w:ascii="Times New Roman" w:cs="Times New Roman" w:eastAsia="Times New Roman" w:hAnsi="Times New Roman"/>
          <w:sz w:val="19"/>
          <w:szCs w:val="19"/>
          <w:color w:val="auto"/>
        </w:rPr>
        <w:t xml:space="preserve">” means a subsidiary of Take-Two organized in any Applicable Jurisdiction from time to time designated by Take-Two to the Administrative Agent as a “Seller” with respect to the Receivables, in accordance with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Once a subsidiary has become an Additional Seller in accordance with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it shall be a Seller under this Agreement and will have all rights and obligations applicable to Sellers under this Agreement.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Net Invoice Amount</w:t>
      </w:r>
      <w:r>
        <w:rPr>
          <w:rFonts w:ascii="Times New Roman" w:cs="Times New Roman" w:eastAsia="Times New Roman" w:hAnsi="Times New Roman"/>
          <w:sz w:val="19"/>
          <w:szCs w:val="19"/>
          <w:color w:val="auto"/>
        </w:rPr>
        <w:t xml:space="preserve">” means, as to any Purchased Receivable, the Net Invoice Amount </w:t>
      </w:r>
      <w:r>
        <w:rPr>
          <w:rFonts w:ascii="Times New Roman" w:cs="Times New Roman" w:eastAsia="Times New Roman" w:hAnsi="Times New Roman"/>
          <w:sz w:val="19"/>
          <w:szCs w:val="19"/>
          <w:i w:val="1"/>
          <w:iCs w:val="1"/>
          <w:color w:val="auto"/>
        </w:rPr>
        <w:t>multiplied</w:t>
      </w:r>
      <w:r>
        <w:rPr>
          <w:rFonts w:ascii="Times New Roman" w:cs="Times New Roman" w:eastAsia="Times New Roman" w:hAnsi="Times New Roman"/>
          <w:sz w:val="19"/>
          <w:szCs w:val="19"/>
          <w:color w:val="auto"/>
        </w:rPr>
        <w:t xml:space="preserve"> by the Applicable Percentage.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 Payment Account</w:t>
      </w:r>
      <w:r>
        <w:rPr>
          <w:rFonts w:ascii="Times New Roman" w:cs="Times New Roman" w:eastAsia="Times New Roman" w:hAnsi="Times New Roman"/>
          <w:sz w:val="19"/>
          <w:szCs w:val="19"/>
          <w:color w:val="auto"/>
        </w:rPr>
        <w:t>” means [***].</w:t>
      </w: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as to any Person, any other Person that, directly or indirectly, is in control of, is controlled by or is under common control with such Person or is a director or officer of such Person. For the purposes of this definition, “control”, when used with respect to any specified Person, means the power to direct the management and policies of such Person, directly or indirectly, whether through the ownership of voting securities, by contract or otherwise.</w:t>
      </w:r>
    </w:p>
    <w:p>
      <w:pPr>
        <w:spacing w:after="0" w:line="17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 the U.S. Foreign Corrupt Practices Act of 1977, as amended; (b) the U.K. Bribery Act 2010, as amended; and (c) any other anti-bribery or anti-corruption laws, regulations, or ordinances in any jurisdiction in which a Seller is located or doing business.</w:t>
      </w:r>
    </w:p>
    <w:p>
      <w:pPr>
        <w:sectPr>
          <w:pgSz w:w="11900" w:h="16838" w:orient="portrait"/>
          <w:cols w:equalWidth="0" w:num="1">
            <w:col w:w="11240"/>
          </w:cols>
          <w:pgMar w:left="320" w:top="118" w:right="339"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Anti-Money Laundering Laws</w:t>
      </w:r>
      <w:r>
        <w:rPr>
          <w:rFonts w:ascii="Times New Roman" w:cs="Times New Roman" w:eastAsia="Times New Roman" w:hAnsi="Times New Roman"/>
          <w:sz w:val="19"/>
          <w:szCs w:val="19"/>
          <w:color w:val="auto"/>
        </w:rPr>
        <w:t>” means applicable laws or regulations in any jurisdiction in which a Seller is located or doing business that relates to money laundering, any predicate crime to money laundering, or any financial record keeping and reporting requirements related thereto.</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Jurisdiction</w:t>
      </w:r>
      <w:r>
        <w:rPr>
          <w:rFonts w:ascii="Times New Roman" w:cs="Times New Roman" w:eastAsia="Times New Roman" w:hAnsi="Times New Roman"/>
          <w:sz w:val="19"/>
          <w:szCs w:val="19"/>
          <w:color w:val="auto"/>
        </w:rPr>
        <w:t>” means the United States (including any state thereof and the District of Columbia), the United Kingdom, Switzerland and any other jurisdiction reasonably approved by the Administrative Agent (such acceptance not to be unreasonably withheld or delayed).</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Purchased Receivables of an Account Debtor, the percentage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the “Applicable Percentage” for such Account Debtor.</w:t>
      </w:r>
    </w:p>
    <w:p>
      <w:pPr>
        <w:spacing w:after="0" w:line="16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Rate</w:t>
      </w:r>
      <w:r>
        <w:rPr>
          <w:rFonts w:ascii="Times New Roman" w:cs="Times New Roman" w:eastAsia="Times New Roman" w:hAnsi="Times New Roman"/>
          <w:sz w:val="19"/>
          <w:szCs w:val="19"/>
          <w:color w:val="auto"/>
        </w:rPr>
        <w:t>” means, for any Purchased Receivable, initially Term SOFR for such Purchased Receivable and, from and after a Benchmark Transition Event and its related Benchmark Replacement Date, the Benchmark, as of the Purchase Date of such Purchased Receivable, for a tenor or interest period of approximately the same length as the Applicable Tenor for such Purchased Receivable or, if the administrator of such Benchmark (or the published component used in the calculation thereof) does not publish such Benchmark for such Applicable Tenor, a rate per annum for such Applicable Tenor calculated by Administrative Agent by interpolation (using its generally applicable interpolation policies) of the Benchmark rates actually published by such administrator.</w:t>
      </w:r>
    </w:p>
    <w:p>
      <w:pPr>
        <w:spacing w:after="0" w:line="16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Spread</w:t>
      </w:r>
      <w:r>
        <w:rPr>
          <w:rFonts w:ascii="Times New Roman" w:cs="Times New Roman" w:eastAsia="Times New Roman" w:hAnsi="Times New Roman"/>
          <w:sz w:val="19"/>
          <w:szCs w:val="19"/>
          <w:color w:val="auto"/>
        </w:rPr>
        <w:t xml:space="preserve">” means, with respect to Purchased Receivables of an Account Debtor, the rate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the “Applicable Spread” for such Account Debtor.</w:t>
      </w:r>
    </w:p>
    <w:p>
      <w:pPr>
        <w:spacing w:after="0" w:line="1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Tenor</w:t>
      </w:r>
      <w:r>
        <w:rPr>
          <w:rFonts w:ascii="Times New Roman" w:cs="Times New Roman" w:eastAsia="Times New Roman" w:hAnsi="Times New Roman"/>
          <w:sz w:val="19"/>
          <w:szCs w:val="19"/>
          <w:color w:val="auto"/>
        </w:rPr>
        <w:t>” means, with respect to any Purchased Receivable, the tenor, as set forth under the heading “Applicable Tenor” in the definition of Term SOFR, corresponding to the Discount Period for such Purchased Receivable.</w:t>
      </w:r>
    </w:p>
    <w:p>
      <w:pPr>
        <w:spacing w:after="0" w:line="16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the Term SOFR Reference Rate for the Applicable Tenor;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means the sum of: (i) the alternate reference rate that has been selected by Administrative Agent as the replacement for the then-current Benchmark, giving due consideration to the following: (A) any selection or recommendation by the Relevant Governmental Body at such time for a replacement reference rate; the mechanism for determining such a rate; or the methodology or conventions applicable to such alternate reference rate; or (B) any evolving or then-prevailing market convention for determining an alternate reference rate as a replacement to the then-current Benchmark or the methodology or conventions applicable to such rate, for U.S. dollar-denominated syndicated or bilateral credit facilities and (ii) the related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w:t>
      </w:r>
      <w:r>
        <w:rPr>
          <w:rFonts w:ascii="Times New Roman" w:cs="Times New Roman" w:eastAsia="Times New Roman" w:hAnsi="Times New Roman"/>
          <w:sz w:val="19"/>
          <w:szCs w:val="19"/>
          <w:color w:val="auto"/>
        </w:rPr>
        <w:t>r, that during any period of time that the Benchmark Replacement as determined as provided above would be less than the Floor, the Benchmark Replacement shall be deemed to be the Floor for the purposes of this Agreement.</w:t>
      </w:r>
    </w:p>
    <w:p>
      <w:pPr>
        <w:spacing w:after="0" w:line="17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Tenor, the spread adjustment, or method for calculating or determining such spread adjustment, (which may be a positive or</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negative value or zero) that has been selected by Administrative Agent giving due consideration to (a) any selection or recommendation by the Relevant Governmental Body at such time of a spread adjustment, or method for calculating or determining such spread adjustment, for the replacement of such Benchmark with the applicable Unadjusted Benchmark Replacement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or bilateral credit facilities.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207" w:lineRule="exact"/>
        <w:rPr>
          <w:sz w:val="20"/>
          <w:szCs w:val="20"/>
          <w:color w:val="auto"/>
        </w:rPr>
      </w:pPr>
    </w:p>
    <w:p>
      <w:pPr>
        <w:ind w:left="1240" w:hanging="618"/>
        <w:spacing w:after="0" w:line="259" w:lineRule="auto"/>
        <w:tabs>
          <w:tab w:leader="none" w:pos="106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 tenor of such Benchmark (or such component thereof) that would permit the determination of such Benchmark for usage as set forth herein;</w:t>
      </w:r>
    </w:p>
    <w:p>
      <w:pPr>
        <w:spacing w:after="0" w:line="178" w:lineRule="exact"/>
        <w:rPr>
          <w:rFonts w:ascii="Times New Roman" w:cs="Times New Roman" w:eastAsia="Times New Roman" w:hAnsi="Times New Roman"/>
          <w:sz w:val="19"/>
          <w:szCs w:val="19"/>
          <w:color w:val="auto"/>
        </w:rPr>
      </w:pPr>
    </w:p>
    <w:p>
      <w:pPr>
        <w:ind w:left="1240" w:hanging="618"/>
        <w:spacing w:after="0" w:line="254" w:lineRule="auto"/>
        <w:tabs>
          <w:tab w:leader="none" w:pos="1055"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(c) of the definition of “Benchmark Transition Event”, the first date on which each tenor of such Benchmark (or the published component used in the calculation thereof) that would permit the determination of such Benchmark for usage as set forth herein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tenors sufficient to be utilized for any interpolation prescribed in the definition of such Benchmark (or such component thereof) continue to be provided on such date.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w:t>
      </w:r>
    </w:p>
    <w:p>
      <w:pPr>
        <w:spacing w:after="0" w:line="220" w:lineRule="exact"/>
        <w:rPr>
          <w:sz w:val="20"/>
          <w:szCs w:val="20"/>
          <w:color w:val="auto"/>
        </w:rPr>
      </w:pPr>
    </w:p>
    <w:p>
      <w:pPr>
        <w:ind w:left="1240" w:hanging="618"/>
        <w:spacing w:after="0" w:line="254" w:lineRule="auto"/>
        <w:tabs>
          <w:tab w:leader="none" w:pos="1041"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 tenor of such Benchmark (or such component thereof) that would permit the determination of such Benchmark for usage as set forth herein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 tenor of such Benchmark (or such component thereof) that would permit the determination of such Benchmark for usage as set forth herein;</w:t>
      </w:r>
    </w:p>
    <w:p>
      <w:pPr>
        <w:spacing w:after="0" w:line="172" w:lineRule="exact"/>
        <w:rPr>
          <w:rFonts w:ascii="Times New Roman" w:cs="Times New Roman" w:eastAsia="Times New Roman" w:hAnsi="Times New Roman"/>
          <w:sz w:val="19"/>
          <w:szCs w:val="19"/>
          <w:color w:val="auto"/>
        </w:rPr>
      </w:pPr>
    </w:p>
    <w:p>
      <w:pPr>
        <w:ind w:left="1240" w:hanging="618"/>
        <w:spacing w:after="0" w:line="258" w:lineRule="auto"/>
        <w:tabs>
          <w:tab w:leader="none" w:pos="1166"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240"/>
        <w:spacing w:after="0" w:line="254" w:lineRule="auto"/>
        <w:rPr>
          <w:sz w:val="20"/>
          <w:szCs w:val="20"/>
          <w:color w:val="auto"/>
        </w:rPr>
      </w:pPr>
      <w:r>
        <w:rPr>
          <w:rFonts w:ascii="Times New Roman" w:cs="Times New Roman" w:eastAsia="Times New Roman" w:hAnsi="Times New Roman"/>
          <w:sz w:val="19"/>
          <w:szCs w:val="19"/>
          <w:color w:val="auto"/>
        </w:rPr>
        <w:t xml:space="preserve">such component), which states that the administrator of such Benchmark (or such component) has ceased or will cease to provide a tenor of such Benchmark (or such component thereof) that would permit the determination of such Benchmark for usage as set forth herein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 tenor of such Benchmark (or such component thereof) that would permit the determination of such Benchmark for usage as set forth herein; or</w:t>
      </w:r>
    </w:p>
    <w:p>
      <w:pPr>
        <w:spacing w:after="0" w:line="185" w:lineRule="exact"/>
        <w:rPr>
          <w:sz w:val="20"/>
          <w:szCs w:val="20"/>
          <w:color w:val="auto"/>
        </w:rPr>
      </w:pPr>
    </w:p>
    <w:p>
      <w:pPr>
        <w:ind w:left="1240" w:hanging="618"/>
        <w:spacing w:after="0" w:line="254" w:lineRule="auto"/>
        <w:tabs>
          <w:tab w:leader="none" w:pos="1041"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no tenor of such Benchmark that would permit the determination of such Benchmark for usage as set forth herein is, or as of a specified future date will be, representative.</w:t>
      </w:r>
    </w:p>
    <w:p>
      <w:pPr>
        <w:spacing w:after="0" w:line="18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Start Date</w:t>
      </w:r>
      <w:r>
        <w:rPr>
          <w:rFonts w:ascii="Times New Roman" w:cs="Times New Roman" w:eastAsia="Times New Roman" w:hAnsi="Times New Roman"/>
          <w:sz w:val="19"/>
          <w:szCs w:val="19"/>
          <w:color w:val="auto"/>
        </w:rPr>
        <w:t>” means, with respect to a Benchmark Transition Event, the earlier of (i) the applicable Benchmark Replacement Date and (ii) if such Benchmark Transition Event is a public statement or publication of information of a prospective event, the ninetieth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Buffer Period</w:t>
      </w:r>
      <w:r>
        <w:rPr>
          <w:rFonts w:ascii="Times New Roman" w:cs="Times New Roman" w:eastAsia="Times New Roman" w:hAnsi="Times New Roman"/>
          <w:sz w:val="19"/>
          <w:szCs w:val="19"/>
          <w:color w:val="auto"/>
        </w:rPr>
        <w:t xml:space="preserve">” means, with respect to Purchased Receivables of an Account Debtor, the number of days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the “Buffer Period” for such Account Debtor, as such period may be adjusted for future purchases by agreement between Administrative Agent, acting on behalf of Purchasers, and Sellers from time to time.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that is not a Saturday, Sunday or other day on which the Federal Reserve Bank of New York is closed.</w:t>
      </w:r>
    </w:p>
    <w:p>
      <w:pPr>
        <w:spacing w:after="0" w:line="22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the occurrence of any of the following: (a) the sale, lease or transfer of all or substantially all of the assets of any Seller; or (b) the liquidation or dissolution of (or the adoption of a plan of liquidation by) any Seller; or (c) the acquisition by any Person or group (as such term is defined in Section 13(d)(3) of the Securities Exchange Act of 1934, as amended) of more than a majority of the aggregate voting stock of any Seller by way of merger or consolidation or otherwise.</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means the date first written above on which each party hereto has duly executed this Agreement.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Collection Account</w:t>
      </w:r>
      <w:r>
        <w:rPr>
          <w:rFonts w:ascii="Times New Roman" w:cs="Times New Roman" w:eastAsia="Times New Roman" w:hAnsi="Times New Roman"/>
          <w:sz w:val="19"/>
          <w:szCs w:val="19"/>
          <w:color w:val="auto"/>
        </w:rPr>
        <w:t>” means such bank accounts identified in writing by Sellers to Administrative Agent, and approved in writing by Administrative Agent to Sellers (such approval not to be unreasonably delayed or withheld), from time to time.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from time to time.</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Collections</w:t>
      </w:r>
      <w:r>
        <w:rPr>
          <w:rFonts w:ascii="Times New Roman" w:cs="Times New Roman" w:eastAsia="Times New Roman" w:hAnsi="Times New Roman"/>
          <w:sz w:val="19"/>
          <w:szCs w:val="19"/>
          <w:color w:val="auto"/>
        </w:rPr>
        <w:t>” means all cash collections, including wire transfers, ACH credits, SWIFT transfers and other cash proceeds of or received by a Seller in connection with any Receivable.</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Competito</w:t>
      </w:r>
      <w:r>
        <w:rPr>
          <w:rFonts w:ascii="Times New Roman" w:cs="Times New Roman" w:eastAsia="Times New Roman" w:hAnsi="Times New Roman"/>
          <w:sz w:val="19"/>
          <w:szCs w:val="19"/>
          <w:color w:val="auto"/>
        </w:rPr>
        <w:t>r” means (i) any Person identified as a “competitor” in writing to the Administrative Agent from time to time; and (ii) any Affiliate of any Person referred to in clause (i) above that is identified by name in writing to the Administrative Agent from time to time or that is reasonably identifiable as an Affiliate on the basis of its name.</w:t>
      </w:r>
    </w:p>
    <w:p>
      <w:pPr>
        <w:spacing w:after="0" w:line="17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without limitation, changes to the definition of “Business Day”, the definition of “U.S. Government Securities Business Day,” the definition of “Applicable Tenor” (or any component definition thereof) or any similar or analogous definition (or the addition of a concept of “interest period”), the timing and frequency of determining rates, the applicability and length of lookback periods and other technical, administrative, or operational matters) that Administrative Agent decides, in consultation with the Sellers, may be appropriate to reflect the adoption and implementation of any such Benchmark Replacement or to permit the use and administration of Term SOFR or a Benchmark Replacement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Transaction Documents).</w:t>
      </w:r>
    </w:p>
    <w:p>
      <w:pPr>
        <w:spacing w:after="0" w:line="19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w:t>
      </w:r>
      <w:r>
        <w:rPr>
          <w:rFonts w:ascii="Times New Roman" w:cs="Times New Roman" w:eastAsia="Times New Roman" w:hAnsi="Times New Roman"/>
          <w:sz w:val="19"/>
          <w:szCs w:val="19"/>
          <w:color w:val="auto"/>
        </w:rPr>
        <w:t>” means an agreement between a Seller and an Account Debtor, or an invoice sent by a Seller to an Account Debtor, pursuant to which a Receivable shall arise, or which otherwise evidences a Receivable.</w:t>
      </w:r>
    </w:p>
    <w:p>
      <w:pPr>
        <w:spacing w:after="0" w:line="14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means that certain Credit Agreement, dated as of May 23, 2022, by and among Take-Two, as borrower, the lenders from time to time party thereto, and JPMorgan Chase Bank, N.A., in its capacity as administrative agent, as amended, supplemented or otherwise modified from time to time.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Participating Purchaser</w:t>
      </w:r>
      <w:r>
        <w:rPr>
          <w:rFonts w:ascii="Times New Roman" w:cs="Times New Roman" w:eastAsia="Times New Roman" w:hAnsi="Times New Roman"/>
          <w:sz w:val="19"/>
          <w:szCs w:val="19"/>
          <w:color w:val="auto"/>
        </w:rPr>
        <w:t xml:space="preserve">” shall have the meaning set forth in </w:t>
      </w:r>
      <w:r>
        <w:rPr>
          <w:rFonts w:ascii="Times New Roman" w:cs="Times New Roman" w:eastAsia="Times New Roman" w:hAnsi="Times New Roman"/>
          <w:sz w:val="19"/>
          <w:szCs w:val="19"/>
          <w:u w:val="single" w:color="auto"/>
          <w:color w:val="auto"/>
        </w:rPr>
        <w:t>Section 2.1(f)(iii).</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Deferred Payment</w:t>
      </w:r>
      <w:r>
        <w:rPr>
          <w:rFonts w:ascii="Times New Roman" w:cs="Times New Roman" w:eastAsia="Times New Roman" w:hAnsi="Times New Roman"/>
          <w:sz w:val="19"/>
          <w:szCs w:val="19"/>
          <w:color w:val="auto"/>
        </w:rPr>
        <w:t>” means, as to any Purchased Receivable, all amounts collected or received by Purchaser (if any) from such Purchased Receivable in excess of the Adjusted Net Invoice Amount of such Purchased Receivable.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w:t>
      </w:r>
      <w:r>
        <w:rPr>
          <w:rFonts w:ascii="Times New Roman" w:cs="Times New Roman" w:eastAsia="Times New Roman" w:hAnsi="Times New Roman"/>
          <w:sz w:val="18"/>
          <w:szCs w:val="18"/>
          <w:color w:val="auto"/>
        </w:rPr>
        <w:t>” means, for any Purchased Receivable determined as of its related Purchase Date, an amount (expressed in U.S. Dollars) equal to</w:t>
      </w:r>
    </w:p>
    <w:p>
      <w:pPr>
        <w:spacing w:after="0" w:line="32" w:lineRule="exact"/>
        <w:rPr>
          <w:sz w:val="20"/>
          <w:szCs w:val="20"/>
          <w:color w:val="auto"/>
        </w:rPr>
      </w:pPr>
    </w:p>
    <w:p>
      <w:pPr>
        <w:ind w:firstLine="3"/>
        <w:spacing w:after="0" w:line="261" w:lineRule="auto"/>
        <w:tabs>
          <w:tab w:leader="none" w:pos="266"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product of (i) the Discount Rate with respect to the applicable Account Debtor and (ii) the Adjusted Net Invoice Amount,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(b) the quotient of (i) the Discount Period, and (ii) 360.</w:t>
      </w:r>
    </w:p>
    <w:p>
      <w:pPr>
        <w:spacing w:after="0" w:line="175"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Discount Period</w:t>
      </w:r>
      <w:r>
        <w:rPr>
          <w:rFonts w:ascii="Times New Roman" w:cs="Times New Roman" w:eastAsia="Times New Roman" w:hAnsi="Times New Roman"/>
          <w:sz w:val="19"/>
          <w:szCs w:val="19"/>
          <w:color w:val="auto"/>
        </w:rPr>
        <w:t xml:space="preserve">” means, with respect to any Purchased Receivable (a) the number of days between the Purchase Date (counting such day for the purposes of this determination) and the Due Date of such Receivable as set forth in the Offer;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Buffer Period.</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Discount Rate</w:t>
      </w:r>
      <w:r>
        <w:rPr>
          <w:rFonts w:ascii="Times New Roman" w:cs="Times New Roman" w:eastAsia="Times New Roman" w:hAnsi="Times New Roman"/>
          <w:sz w:val="19"/>
          <w:szCs w:val="19"/>
          <w:color w:val="auto"/>
        </w:rPr>
        <w:t xml:space="preserve">” means, as to any Purchased Receivable, the sum of the then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Applicable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Spread.</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means, with respect to any Receivable, any dispute, offset, defense or claim with respect to payments, arising out of or in connection with such Receivable or any other transaction related thereto, or otherwise asserted by or against the Account Debtor of such Receivable in accordance with the terms of the applicable Contract. The term “Dispute” does not include non-payment of a Receivable by the Account Debtor due solely and exclusively to an Insolvency Event with respect to such Account Debtor.</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and the symbol “$” shall each mean the lawful currency of the United States of America.</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Due Date</w:t>
      </w:r>
      <w:r>
        <w:rPr>
          <w:rFonts w:ascii="Times New Roman" w:cs="Times New Roman" w:eastAsia="Times New Roman" w:hAnsi="Times New Roman"/>
          <w:sz w:val="19"/>
          <w:szCs w:val="19"/>
          <w:color w:val="auto"/>
        </w:rPr>
        <w:t>” means, with respect to any Receivable, the date set forth in the Offer for such Receivable, which is the date on which payment in full is due pursuant to any applicable Contract that evidences such Receivable.</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Receivable</w:t>
      </w:r>
      <w:r>
        <w:rPr>
          <w:rFonts w:ascii="Times New Roman" w:cs="Times New Roman" w:eastAsia="Times New Roman" w:hAnsi="Times New Roman"/>
          <w:sz w:val="19"/>
          <w:szCs w:val="19"/>
          <w:color w:val="auto"/>
        </w:rPr>
        <w:t>” means a Receivable that is payable and owing by an Account Debtor and that, as of the applicable Purchase Date of such Receivable, satisfies all of the following requirements:</w:t>
      </w:r>
    </w:p>
    <w:p>
      <w:pPr>
        <w:spacing w:after="0" w:line="155" w:lineRule="exact"/>
        <w:rPr>
          <w:sz w:val="20"/>
          <w:szCs w:val="20"/>
          <w:color w:val="auto"/>
        </w:rPr>
      </w:pPr>
    </w:p>
    <w:p>
      <w:pPr>
        <w:jc w:val="both"/>
        <w:ind w:left="1240" w:hanging="618"/>
        <w:spacing w:after="0" w:line="226" w:lineRule="auto"/>
        <w:tabs>
          <w:tab w:leader="none" w:pos="123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such Receivable is evidenced by an invoice that has been issued to such Account Debtor, has not been rejected in whole or in part by such Account Debtor and by its terms is due and payable on its Due Date, and (ii) the Due Date of such Receivable is no later than the Maximum Days from the earlier of the invoice date or Purchase Date of such Receivable;</w:t>
      </w:r>
    </w:p>
    <w:p>
      <w:pPr>
        <w:spacing w:after="0" w:line="156" w:lineRule="exact"/>
        <w:rPr>
          <w:rFonts w:ascii="Times New Roman" w:cs="Times New Roman" w:eastAsia="Times New Roman" w:hAnsi="Times New Roman"/>
          <w:sz w:val="19"/>
          <w:szCs w:val="19"/>
          <w:color w:val="auto"/>
        </w:rPr>
      </w:pPr>
    </w:p>
    <w:p>
      <w:pPr>
        <w:ind w:left="1240" w:hanging="618"/>
        <w:spacing w:after="0"/>
        <w:tabs>
          <w:tab w:leader="none" w:pos="1228"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Seller has good and marketable title to such Receivable free and clear of any Lien (other than a Lien in favor of Administrative Agent for the benefit of Participating Purchasers and inchoate tax Liens);</w:t>
      </w:r>
    </w:p>
    <w:p>
      <w:pPr>
        <w:spacing w:after="0" w:line="143" w:lineRule="exact"/>
        <w:rPr>
          <w:rFonts w:ascii="Times New Roman" w:cs="Times New Roman" w:eastAsia="Times New Roman" w:hAnsi="Times New Roman"/>
          <w:sz w:val="19"/>
          <w:szCs w:val="19"/>
          <w:color w:val="auto"/>
        </w:rPr>
      </w:pPr>
    </w:p>
    <w:p>
      <w:pPr>
        <w:ind w:left="1240" w:hanging="618"/>
        <w:spacing w:after="0"/>
        <w:tabs>
          <w:tab w:leader="none" w:pos="123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purchase by Administrative Agent for the benefit of Participating Purchasers, has acquired valid ownership of such Purchased Receivable senior and prior to all other Persons;</w:t>
      </w:r>
    </w:p>
    <w:p>
      <w:pPr>
        <w:spacing w:after="0" w:line="156" w:lineRule="exact"/>
        <w:rPr>
          <w:rFonts w:ascii="Times New Roman" w:cs="Times New Roman" w:eastAsia="Times New Roman" w:hAnsi="Times New Roman"/>
          <w:sz w:val="19"/>
          <w:szCs w:val="19"/>
          <w:color w:val="auto"/>
        </w:rPr>
      </w:pPr>
    </w:p>
    <w:p>
      <w:pPr>
        <w:jc w:val="both"/>
        <w:ind w:left="1240" w:hanging="618"/>
        <w:spacing w:after="0" w:line="222" w:lineRule="auto"/>
        <w:tabs>
          <w:tab w:leader="none" w:pos="1228"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Receivable constitutes a bona fide, unconditional, legal, valid, and binding payment obligation of such Account Debtor, enforceable against such Account Debtor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5" w:lineRule="exact"/>
        <w:rPr>
          <w:rFonts w:ascii="Times New Roman" w:cs="Times New Roman" w:eastAsia="Times New Roman" w:hAnsi="Times New Roman"/>
          <w:sz w:val="19"/>
          <w:szCs w:val="19"/>
          <w:color w:val="auto"/>
        </w:rPr>
      </w:pPr>
    </w:p>
    <w:p>
      <w:pPr>
        <w:jc w:val="both"/>
        <w:ind w:left="1240" w:hanging="618"/>
        <w:spacing w:after="0" w:line="231" w:lineRule="auto"/>
        <w:tabs>
          <w:tab w:leader="none" w:pos="123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Seller has delivered to such Account Debtor all property or performed all services required to be so delivered or performed giving rise to such Receivable, and such Account Debtor has not rejected any of such property or services and the payments due with respect to such Receivable are not contingent upon such Seller’s fulfillment of any further obligation;</w:t>
      </w:r>
    </w:p>
    <w:p>
      <w:pPr>
        <w:spacing w:after="0" w:line="142" w:lineRule="exact"/>
        <w:rPr>
          <w:rFonts w:ascii="Times New Roman" w:cs="Times New Roman" w:eastAsia="Times New Roman" w:hAnsi="Times New Roman"/>
          <w:sz w:val="19"/>
          <w:szCs w:val="19"/>
          <w:color w:val="auto"/>
        </w:rPr>
      </w:pPr>
    </w:p>
    <w:p>
      <w:pPr>
        <w:ind w:left="1240" w:hanging="618"/>
        <w:spacing w:after="0"/>
        <w:tabs>
          <w:tab w:leader="none" w:pos="1235"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Account Debtor is not in default in the performance of any material terms and conditions of the Contract applicable to such Receivable;</w:t>
      </w:r>
    </w:p>
    <w:p>
      <w:pPr>
        <w:spacing w:after="0" w:line="156" w:lineRule="exact"/>
        <w:rPr>
          <w:rFonts w:ascii="Times New Roman" w:cs="Times New Roman" w:eastAsia="Times New Roman" w:hAnsi="Times New Roman"/>
          <w:sz w:val="19"/>
          <w:szCs w:val="19"/>
          <w:color w:val="auto"/>
        </w:rPr>
      </w:pPr>
    </w:p>
    <w:p>
      <w:pPr>
        <w:jc w:val="both"/>
        <w:ind w:left="1240" w:hanging="618"/>
        <w:spacing w:after="0" w:line="238" w:lineRule="auto"/>
        <w:tabs>
          <w:tab w:leader="none" w:pos="122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such Receivable, is legal, valid, and in full force and effect; all right, title and interest in and to the Receivable is freely transferable to Administrative Agent by assignment; such Account Debtor has completed all inspection and approvals for which it is entitled and not rejected any of the property delivered or services performed in respect of such Receivable;</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20" w:hanging="598"/>
        <w:spacing w:after="0"/>
        <w:tabs>
          <w:tab w:leader="none" w:pos="12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Repurchase Event exists on such Purchase Date with respect to such Receivable;</w:t>
      </w:r>
    </w:p>
    <w:p>
      <w:pPr>
        <w:spacing w:after="0" w:line="168"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Receivable is not past its Due Date;</w:t>
      </w:r>
    </w:p>
    <w:p>
      <w:pPr>
        <w:spacing w:after="0" w:line="181" w:lineRule="exact"/>
        <w:rPr>
          <w:rFonts w:ascii="Times New Roman" w:cs="Times New Roman" w:eastAsia="Times New Roman" w:hAnsi="Times New Roman"/>
          <w:sz w:val="19"/>
          <w:szCs w:val="19"/>
          <w:color w:val="auto"/>
        </w:rPr>
      </w:pPr>
    </w:p>
    <w:p>
      <w:pPr>
        <w:ind w:left="1240" w:hanging="618"/>
        <w:spacing w:after="0"/>
        <w:tabs>
          <w:tab w:leader="none" w:pos="1238"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has received true and correct copies of all documentation required or requested prior to the Purchase Date with respect to such Receivable;</w:t>
      </w:r>
    </w:p>
    <w:p>
      <w:pPr>
        <w:spacing w:after="0" w:line="143" w:lineRule="exact"/>
        <w:rPr>
          <w:rFonts w:ascii="Times New Roman" w:cs="Times New Roman" w:eastAsia="Times New Roman" w:hAnsi="Times New Roman"/>
          <w:sz w:val="19"/>
          <w:szCs w:val="19"/>
          <w:color w:val="auto"/>
        </w:rPr>
      </w:pPr>
    </w:p>
    <w:p>
      <w:pPr>
        <w:ind w:left="1240" w:hanging="618"/>
        <w:spacing w:after="0"/>
        <w:tabs>
          <w:tab w:leader="none" w:pos="1228"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Receivable and any related Contract under which it arises comply with the requirements of all applicable laws, rules, regulations, or orders of any governmental authority and do not contravene any agreement binding upon any Seller;</w:t>
      </w:r>
    </w:p>
    <w:p>
      <w:pPr>
        <w:spacing w:after="0" w:line="156" w:lineRule="exact"/>
        <w:rPr>
          <w:rFonts w:ascii="Times New Roman" w:cs="Times New Roman" w:eastAsia="Times New Roman" w:hAnsi="Times New Roman"/>
          <w:sz w:val="19"/>
          <w:szCs w:val="19"/>
          <w:color w:val="auto"/>
        </w:rPr>
      </w:pPr>
    </w:p>
    <w:p>
      <w:pPr>
        <w:ind w:left="1240" w:hanging="618"/>
        <w:spacing w:after="0" w:line="233" w:lineRule="auto"/>
        <w:tabs>
          <w:tab w:leader="none" w:pos="1238"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such Account Debtor in respect of such Receivable have not been prepaid in whole or in part and are not subject to a deposit, and no credits are available that may be applied to such Receivable by such Account Debtor;</w:t>
      </w:r>
    </w:p>
    <w:p>
      <w:pPr>
        <w:spacing w:after="0" w:line="155" w:lineRule="exact"/>
        <w:rPr>
          <w:rFonts w:ascii="Times New Roman" w:cs="Times New Roman" w:eastAsia="Times New Roman" w:hAnsi="Times New Roman"/>
          <w:sz w:val="19"/>
          <w:szCs w:val="19"/>
          <w:color w:val="auto"/>
        </w:rPr>
      </w:pPr>
    </w:p>
    <w:p>
      <w:pPr>
        <w:jc w:val="both"/>
        <w:ind w:left="1240" w:hanging="618"/>
        <w:spacing w:after="0" w:line="226" w:lineRule="auto"/>
        <w:tabs>
          <w:tab w:leader="none" w:pos="1229"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Receivable (a) does not represent a progress billing or a sale on a bill-and-hold, guaranteed sale, sale-and-return, sale on approval, consignment, cash-on-delivery, or any other return basis, (b) does not relate to payments of interest, and (c) has not been offered to a Purchaser for purchase more than once;</w:t>
      </w:r>
    </w:p>
    <w:p>
      <w:pPr>
        <w:spacing w:after="0" w:line="156" w:lineRule="exact"/>
        <w:rPr>
          <w:rFonts w:ascii="Times New Roman" w:cs="Times New Roman" w:eastAsia="Times New Roman" w:hAnsi="Times New Roman"/>
          <w:sz w:val="19"/>
          <w:szCs w:val="19"/>
          <w:color w:val="auto"/>
        </w:rPr>
      </w:pPr>
    </w:p>
    <w:p>
      <w:pPr>
        <w:ind w:left="1220" w:hanging="598"/>
        <w:spacing w:after="0"/>
        <w:tabs>
          <w:tab w:leader="none" w:pos="12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Receivable is not evidenced by or arising under any lease;</w:t>
      </w:r>
    </w:p>
    <w:p>
      <w:pPr>
        <w:spacing w:after="0" w:line="181" w:lineRule="exact"/>
        <w:rPr>
          <w:rFonts w:ascii="Times New Roman" w:cs="Times New Roman" w:eastAsia="Times New Roman" w:hAnsi="Times New Roman"/>
          <w:sz w:val="19"/>
          <w:szCs w:val="19"/>
          <w:color w:val="auto"/>
        </w:rPr>
      </w:pPr>
    </w:p>
    <w:p>
      <w:pPr>
        <w:ind w:left="1220" w:hanging="598"/>
        <w:spacing w:after="0"/>
        <w:tabs>
          <w:tab w:leader="none" w:pos="12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68" w:lineRule="exact"/>
        <w:rPr>
          <w:rFonts w:ascii="Times New Roman" w:cs="Times New Roman" w:eastAsia="Times New Roman" w:hAnsi="Times New Roman"/>
          <w:sz w:val="19"/>
          <w:szCs w:val="19"/>
          <w:color w:val="auto"/>
        </w:rPr>
      </w:pPr>
    </w:p>
    <w:p>
      <w:pPr>
        <w:ind w:left="1220" w:hanging="598"/>
        <w:spacing w:after="0"/>
        <w:tabs>
          <w:tab w:leader="none" w:pos="12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Receivable is denominated in U.S. Dollars;</w:t>
      </w:r>
    </w:p>
    <w:p>
      <w:pPr>
        <w:spacing w:after="0" w:line="181" w:lineRule="exact"/>
        <w:rPr>
          <w:rFonts w:ascii="Times New Roman" w:cs="Times New Roman" w:eastAsia="Times New Roman" w:hAnsi="Times New Roman"/>
          <w:sz w:val="19"/>
          <w:szCs w:val="19"/>
          <w:color w:val="auto"/>
        </w:rPr>
      </w:pPr>
    </w:p>
    <w:p>
      <w:pPr>
        <w:jc w:val="both"/>
        <w:ind w:left="1240" w:hanging="618"/>
        <w:spacing w:after="0" w:line="222" w:lineRule="auto"/>
        <w:tabs>
          <w:tab w:leader="none" w:pos="1228"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further action, including any filing or recording of any document or any notice to, license from or approval from any governmental authority is necessary in order to establish the ownership interest of Administrative Agent, for the benefit of Participating Purchasers, effected by the sale of such Receivable pursuant to this Agreement or to permit Administrative Agent to service, enforce, or otherwise collect such Receivable from the related Account Debtor;</w:t>
      </w:r>
    </w:p>
    <w:p>
      <w:pPr>
        <w:spacing w:after="0" w:line="158" w:lineRule="exact"/>
        <w:rPr>
          <w:rFonts w:ascii="Times New Roman" w:cs="Times New Roman" w:eastAsia="Times New Roman" w:hAnsi="Times New Roman"/>
          <w:sz w:val="19"/>
          <w:szCs w:val="19"/>
          <w:color w:val="auto"/>
        </w:rPr>
      </w:pPr>
    </w:p>
    <w:p>
      <w:pPr>
        <w:jc w:val="both"/>
        <w:ind w:left="1240" w:hanging="618"/>
        <w:spacing w:after="0" w:line="226" w:lineRule="auto"/>
        <w:tabs>
          <w:tab w:leader="none" w:pos="1235"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related Purchase Date, immediately prior to the sale of such Receivable hereunder, Sellers have not sold, assigned, pledged, or otherwise transferred such Receivable owed by the Account Debtor to any Person other than Administrative Agent, for the benefit of Participating Purchasers; and</w:t>
      </w:r>
    </w:p>
    <w:p>
      <w:pPr>
        <w:spacing w:after="0" w:line="156"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related Purchase Date, no Insolvency Event has occurred with respect to the related Account Debtor.</w:t>
      </w:r>
    </w:p>
    <w:p>
      <w:pPr>
        <w:spacing w:after="0" w:line="181"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Exhibit Update</w:t>
      </w:r>
      <w:r>
        <w:rPr>
          <w:rFonts w:ascii="Times New Roman" w:cs="Times New Roman" w:eastAsia="Times New Roman" w:hAnsi="Times New Roman"/>
          <w:sz w:val="19"/>
          <w:szCs w:val="19"/>
          <w:color w:val="auto"/>
        </w:rPr>
        <w:t xml:space="preserve">” means an exhibit update agreement executed by Sellers and Administrative Agent from time to time in substantially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Collection Date</w:t>
      </w:r>
      <w:r>
        <w:rPr>
          <w:rFonts w:ascii="Times New Roman" w:cs="Times New Roman" w:eastAsia="Times New Roman" w:hAnsi="Times New Roman"/>
          <w:sz w:val="19"/>
          <w:szCs w:val="19"/>
          <w:color w:val="auto"/>
        </w:rPr>
        <w:t>” means the date following the termination of this Agreement on which Administrative Agent has received (i) all Collections owing on the Purchased Receivables and (ii) all</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payments, if any, required to be paid by a Seller under this Agreement or any other Transaction Document, including with respect to Repurchase Events and Indemnified Amounts (other than contingent obligations for which no claim has been asserted).</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a per annum rate of zero percent (0%).</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as of any date, generally accepted accounting principles of the Financial Accounting Standards Board or the American Institute of Certified Public Accountants, and, when used with respect to a Seller, means such principles as applied by such Person in the preparation of the financial statements of such Person and its consolidated subsidiaries included in its annual report on Form 10-K filed with the SEC applied on a consistent basis.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Amounts</w:t>
      </w:r>
      <w:r>
        <w:rPr>
          <w:rFonts w:ascii="Times New Roman" w:cs="Times New Roman" w:eastAsia="Times New Roman" w:hAnsi="Times New Roman"/>
          <w:sz w:val="19"/>
          <w:szCs w:val="19"/>
          <w:color w:val="auto"/>
        </w:rPr>
        <w:t xml:space="preserve">” shall have the meaning set forth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Party</w:t>
      </w:r>
      <w:r>
        <w:rPr>
          <w:rFonts w:ascii="Times New Roman" w:cs="Times New Roman" w:eastAsia="Times New Roman" w:hAnsi="Times New Roman"/>
          <w:sz w:val="19"/>
          <w:szCs w:val="19"/>
          <w:color w:val="auto"/>
        </w:rPr>
        <w:t xml:space="preserve">” shall have the meaning set forth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Payment</w:t>
      </w:r>
      <w:r>
        <w:rPr>
          <w:rFonts w:ascii="Times New Roman" w:cs="Times New Roman" w:eastAsia="Times New Roman" w:hAnsi="Times New Roman"/>
          <w:sz w:val="19"/>
          <w:szCs w:val="19"/>
          <w:color w:val="auto"/>
        </w:rPr>
        <w:t>” means, as to any Purchased Receivable purchased on any Purchase Date, an amount equal to (i) the Adjusted Net Invoice Amount minus (ii) the Discount, all as calculated on the Platform and Posted with each Offer or, in the event such Offer is not made through the Platform but is instead made through a Purchase Request, all as calculated pursuant to the Purchase Request.</w:t>
      </w:r>
    </w:p>
    <w:p>
      <w:pPr>
        <w:spacing w:after="0" w:line="174"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Insolvency Event</w:t>
      </w:r>
      <w:r>
        <w:rPr>
          <w:rFonts w:ascii="Times New Roman" w:cs="Times New Roman" w:eastAsia="Times New Roman" w:hAnsi="Times New Roman"/>
          <w:sz w:val="19"/>
          <w:szCs w:val="19"/>
          <w:color w:val="auto"/>
        </w:rPr>
        <w:t>” means, with respect to any Person, the existence of any of the following: (a) any general assignment of the assets of such Person for the benefit of its creditors, (b) such Person shall generally not pay its debts as such debts become due or shall admit in writing its inability to pay its debts generally, (c) any proceeding shall be instituted by or against such Person under the United States Bankruptcy Code or any other federal, state or foreign bankruptcy, insolvency, reorganization or other law affecting creditors’ rights generally or any other or similar proceedings seeking any stay, reorganization, arrangement, composition or readjustment of the obligations and indebtedness of such Person, seeking to adjudicate it as bankrupt or insolvent, or seeking the liquidation, winding up, reorganization, arrangement, adjustment, protection, relief, or composition of it or its debts under any law relating to bankruptcy, insolvency or reorganization or relief of debtors, or any proceeding is instituted seeking the entry of an order for relief or the appointment of a receiver, trustee, custodian or other similar official for it or for all or substantially all of its property and, in the case of any such proceeding instituted against it (but not instituted by it), either such proceeding shall remain undismissed or unstayed for a period of 30 days, or any of the actions sought in such proceeding (including the entry of an order for relief against, or the appointment of a receiver, trustee, custodian or other similar official for, it or for all or substantially all of its property), (d)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(e) such Person is not Solvent, or (f) such Person shall take any action to authorize any of the actions set forth in (a), (b) and (d) above in this definition.</w:t>
      </w:r>
    </w:p>
    <w:p>
      <w:pPr>
        <w:spacing w:after="0" w:line="17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lien, charge, deed of trust, mortgage, security interest (including, with respect to Receivables, any ownership interest), tax lien, pledge, hypothecation, assignment, preference, priority, other encumbrance, or any other type of preferential arrangement of any kind, in the nature of a security</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interest, by or with any Person (including any conditional sale or title retention agreement), whether arising by contract, operation of law, or otherwise,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“Lien” shall not include any banker’s lien or any other claim that a depositary bank may have against or in any deposit accounts or funds therein.</w:t>
      </w:r>
    </w:p>
    <w:p>
      <w:pPr>
        <w:spacing w:after="0" w:line="17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means (a) a material adverse change in the ability (whether financial, legal, or otherwise) of any Seller to comply with and fulfill its obligations under any of the Transaction Documents, (b) the impairment of the validity or enforceability of, or the material rights, remedies or benefits available to, Administrative Agent under any of the Transaction Documents, or (c) the occurrence of a Change of Control.</w:t>
      </w:r>
    </w:p>
    <w:p>
      <w:pPr>
        <w:spacing w:after="0" w:line="18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circumstance or condition that would reasonably be expected to materially and adversely affect (i) the business, financial condition or operations of the Sellers (taken as a whole) (ii) the ability of the Sellers (taken as a whole) to perform their respective obligations under this Agreement or (iii) the material rights and remedies of the Administrative Agent under this Agreement taken as a whole, including the legality, validity, binding effect or enforceability of this Agreement.</w:t>
      </w:r>
    </w:p>
    <w:p>
      <w:pPr>
        <w:spacing w:after="0" w:line="16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Days</w:t>
      </w:r>
      <w:r>
        <w:rPr>
          <w:rFonts w:ascii="Times New Roman" w:cs="Times New Roman" w:eastAsia="Times New Roman" w:hAnsi="Times New Roman"/>
          <w:sz w:val="19"/>
          <w:szCs w:val="19"/>
          <w:color w:val="auto"/>
        </w:rPr>
        <w:t xml:space="preserve">” means, with respect to any Receivable due from an Account Debtor, the number of days designated as the “Maximum Days” for such Account Debtor as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Invoice Amount</w:t>
      </w:r>
      <w:r>
        <w:rPr>
          <w:rFonts w:ascii="Times New Roman" w:cs="Times New Roman" w:eastAsia="Times New Roman" w:hAnsi="Times New Roman"/>
          <w:sz w:val="19"/>
          <w:szCs w:val="19"/>
          <w:color w:val="auto"/>
        </w:rPr>
        <w:t>” means, as to any Receivable (or any portion thereof), an amount that is payable by Account Debtor of such Receivable on the Due Date thereof and equal to the face value payable by such Account Debtor of the applicable invoice related to such Receivable (or such portion thereof) net of any dilution, discounts, credits, or other allowances shown on such invoice and agreed to prior to the applicable Purchase Date.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Notification Date</w:t>
      </w:r>
      <w:r>
        <w:rPr>
          <w:rFonts w:ascii="Times New Roman" w:cs="Times New Roman" w:eastAsia="Times New Roman" w:hAnsi="Times New Roman"/>
          <w:sz w:val="19"/>
          <w:szCs w:val="19"/>
          <w:color w:val="auto"/>
        </w:rPr>
        <w:t>” means, with respect to any Purchased Receivable, the date that is thirty (30) days after its Due Date.</w:t>
      </w:r>
    </w:p>
    <w:p>
      <w:pPr>
        <w:spacing w:after="0" w:line="20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Notification Event</w:t>
      </w:r>
      <w:r>
        <w:rPr>
          <w:rFonts w:ascii="Times New Roman" w:cs="Times New Roman" w:eastAsia="Times New Roman" w:hAnsi="Times New Roman"/>
          <w:sz w:val="19"/>
          <w:szCs w:val="19"/>
          <w:color w:val="auto"/>
        </w:rPr>
        <w:t>” means, with respect to any Purchased Receivable, the occurrence of any of the following: (a) such Purchased Receivable is not paid in full on or before the Notification Date thereof, (b) an Insolvency Event with respect to the Account Debtor of such Purchased Receivable or with respect to any Seller, (c) a Material Adverse Change that adversely affects the collectability of such Purchased Receivables or any rights of Administrative Agent as the owner of such Purchased Receivables (other than a Material Adverse Change with respect to the Administrative Agent) or (d) a Termination Event; provided, that, solely with respect to the foregoing clause (c), a Notification Event shall not be deemed to have occurred until Administrative Agent provides the applicable Seller with written notice of such Material Adverse Change and provides the applicable Seller with five (5) Business Days from the date of such written notification to consult with Administrative Agent on the circumstances surrounding such Material Adverse Change.</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Offer</w:t>
      </w:r>
      <w:r>
        <w:rPr>
          <w:rFonts w:ascii="Times New Roman" w:cs="Times New Roman" w:eastAsia="Times New Roman" w:hAnsi="Times New Roman"/>
          <w:sz w:val="19"/>
          <w:szCs w:val="19"/>
          <w:color w:val="auto"/>
        </w:rPr>
        <w:t>” means (a) the Posting by a Seller to the Platform of an “EDI 810” file (or any similar submission protocol established by the Platform Manager under the Platform from time to time) or (b) the delivery by a Seller to Administrative Agent of a Purchase Request in accordance with the terms hereof.</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Outstanding Purchase Price</w:t>
      </w:r>
      <w:r>
        <w:rPr>
          <w:rFonts w:ascii="Times New Roman" w:cs="Times New Roman" w:eastAsia="Times New Roman" w:hAnsi="Times New Roman"/>
          <w:sz w:val="19"/>
          <w:szCs w:val="19"/>
          <w:color w:val="auto"/>
        </w:rPr>
        <w:t>” means, at any date of determination with respect to all Purchased Receivables or any specified individual or group of Purchased Receivables, an amount equal to the aggregate amount of the Purchase Prices paid by Administrative Agent on behalf of Participating</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Purchasers with respect to such Purchased Receivables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aggregate amount of all Collections with respect to such Purchased Receivables remitted or deposited to the Administrative Agent Payment Account.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Overdue Payment Rate</w:t>
      </w:r>
      <w:r>
        <w:rPr>
          <w:rFonts w:ascii="Times New Roman" w:cs="Times New Roman" w:eastAsia="Times New Roman" w:hAnsi="Times New Roman"/>
          <w:sz w:val="19"/>
          <w:szCs w:val="19"/>
          <w:color w:val="auto"/>
        </w:rPr>
        <w:t>” means 2% per annum above the Discount Rate applicable to such Purchased Receivable outstanding at such time.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Participating Purchaser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2.1(d)(i)</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Participant’s Facility Share</w:t>
      </w:r>
      <w:r>
        <w:rPr>
          <w:rFonts w:ascii="Times New Roman" w:cs="Times New Roman" w:eastAsia="Times New Roman" w:hAnsi="Times New Roman"/>
          <w:sz w:val="19"/>
          <w:szCs w:val="19"/>
          <w:color w:val="auto"/>
        </w:rPr>
        <w:t>” shall mean, with respect to (i) Wells Fargo Bank, N.A., $215,000,000, as such amount is modified from time to time, and (ii) with respect to any other Purchaser, the amount specified in the applicable assignment and assumption agreement under which it becomes a Purchaser hereunder, as such amount is modified from time to time.</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sole proprietorship, partnership, corporation, limited liability company, limited liability partnership, business trust, unincorporated association, joint stock corporation, trust, joint venture, or other entity or any government or any agency or instrumentality or political subdivision thereof.</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means, collectively, the website used by the Platform Manager, the related software, or any electronic data interchange utilized by Administrative Agent and Sellers to conduct the purchase and sale of Receivables under this Agreement, including the submission of Offers by a Seller and the notification of settlements and Receivables tracking.</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 Manager</w:t>
      </w:r>
      <w:r>
        <w:rPr>
          <w:rFonts w:ascii="Times New Roman" w:cs="Times New Roman" w:eastAsia="Times New Roman" w:hAnsi="Times New Roman"/>
          <w:sz w:val="19"/>
          <w:szCs w:val="19"/>
          <w:color w:val="auto"/>
        </w:rPr>
        <w:t>” means Wells Fargo Bank, N.A., or its designee, in its capacity as provider and manager of the Platform.</w:t>
      </w:r>
    </w:p>
    <w:p>
      <w:pPr>
        <w:spacing w:after="0" w:line="22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Posting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Posted</w:t>
      </w:r>
      <w:r>
        <w:rPr>
          <w:rFonts w:ascii="Times New Roman" w:cs="Times New Roman" w:eastAsia="Times New Roman" w:hAnsi="Times New Roman"/>
          <w:sz w:val="19"/>
          <w:szCs w:val="19"/>
          <w:color w:val="auto"/>
        </w:rPr>
        <w:t>” means the input and submission of data, a directive, a system response, or any other intended electronic communication on the Platform by Sellers or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certain Postings occur as an automated process on the Platform).</w:t>
      </w:r>
    </w:p>
    <w:p>
      <w:pPr>
        <w:spacing w:after="0" w:line="14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Rata Share</w:t>
      </w:r>
      <w:r>
        <w:rPr>
          <w:rFonts w:ascii="Times New Roman" w:cs="Times New Roman" w:eastAsia="Times New Roman" w:hAnsi="Times New Roman"/>
          <w:sz w:val="19"/>
          <w:szCs w:val="19"/>
          <w:color w:val="auto"/>
        </w:rPr>
        <w:t>” shall mean, with respect to any Purchaser, (i) with respect to each Purchase Request, an amount (expressed as a percentage) equal to (x) the Purchaser’s Facility Share of such Purchaser, divided by (y) the aggregate Purchaser’s Facility Shares of all of the Purchasers, subject to the provisions of Section 2.1(d)(i), (ii) with respect to any Purchased Receivable, an amount (expressed as a percentage) equal to (x) that portion of the Purchase Price of such Purchased Receivable paid by such Purchaser, divided by (y) the Purchase Price of such Purchased Receivable paid by all of the Purchasers, and (iii) for all other purposes under this Agreement, an amount (expressed as a percentage) equal to (x) the aggregate Purchase Prices of all Purchased Receivables paid by such Purchaser, divided by (y) the aggregate Purchase Prices of all Purchased Receivables paid by all of the Purchasers.</w:t>
      </w:r>
    </w:p>
    <w:p>
      <w:pPr>
        <w:spacing w:after="0" w:line="173"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Date</w:t>
      </w:r>
      <w:r>
        <w:rPr>
          <w:rFonts w:ascii="Times New Roman" w:cs="Times New Roman" w:eastAsia="Times New Roman" w:hAnsi="Times New Roman"/>
          <w:sz w:val="19"/>
          <w:szCs w:val="19"/>
          <w:color w:val="auto"/>
        </w:rPr>
        <w:t>” means, as to any Receivable, the date Administrative Agent, on behalf of Participating Purchasers, remits the Initial Payment for such Receivable.</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Limit</w:t>
      </w:r>
      <w:r>
        <w:rPr>
          <w:rFonts w:ascii="Times New Roman" w:cs="Times New Roman" w:eastAsia="Times New Roman" w:hAnsi="Times New Roman"/>
          <w:sz w:val="19"/>
          <w:szCs w:val="19"/>
          <w:color w:val="auto"/>
        </w:rPr>
        <w:t xml:space="preserve">” means (i) with respect to any Account Debtor, the amount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and (ii) with respect to all Purchased Receivables, $215,000,000.</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as to any Purchased Receivable purchased on any Purchase Date an amount equal to the Initial Payment plus the Deferred Payment, as such Initial Payment is as calculated on the Platform and Posted with each Offer or, in the event such Offer is not made through the Platform but is instead made through a Purchase Request, as calculated pursuant to the Purchase Request.</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Request</w:t>
      </w:r>
      <w:r>
        <w:rPr>
          <w:rFonts w:ascii="Times New Roman" w:cs="Times New Roman" w:eastAsia="Times New Roman" w:hAnsi="Times New Roman"/>
          <w:sz w:val="19"/>
          <w:szCs w:val="19"/>
          <w:color w:val="auto"/>
        </w:rPr>
        <w:t>” means a written request from a Seller to Administrative Agent, in form and substance reasonably satisfactory to Administrative Agent, that Administrative Agent, on behalf of Purchasers, purchase from such Seller the Eligible Receivables described in such written request.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Purchased Receivable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2.1(f)</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w:t>
      </w:r>
      <w:r>
        <w:rPr>
          <w:rFonts w:ascii="Times New Roman" w:cs="Times New Roman" w:eastAsia="Times New Roman" w:hAnsi="Times New Roman"/>
          <w:sz w:val="19"/>
          <w:szCs w:val="19"/>
          <w:color w:val="auto"/>
        </w:rPr>
        <w:t>” means all accounts, instruments, documents, contract rights, general intangibles and chattel paper (as such terms are defined in the UCC), proceeds of insurance, and all other forms of payment obligations owing to a Seller by an Account Debtor, whether now existing or hereafter created, in each case, that represent obligations of an Account Debtor arising out of such Seller’s sale and delivery of goods or services, together with all Related Assets, and with respect to each of the foregoing, all proceeds thereof.</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Records</w:t>
      </w:r>
      <w:r>
        <w:rPr>
          <w:rFonts w:ascii="Times New Roman" w:cs="Times New Roman" w:eastAsia="Times New Roman" w:hAnsi="Times New Roman"/>
          <w:sz w:val="19"/>
          <w:szCs w:val="19"/>
          <w:color w:val="auto"/>
        </w:rPr>
        <w:t>” means all of each Seller’s present and future books of account of every kind or nature, purchase and sale agreements, invoices, sales orders, credit memos, ledger cards, statements, correspondence, memoranda, credit files, and other data relating to the Receivables, including any Related Assets, or any Account Debtor, together with the storage devices (including electronic data and information) in or on which the foregoing are stored (including any rights of Sellers with respect to the foregoing maintained with or by any other Person).</w:t>
      </w:r>
    </w:p>
    <w:p>
      <w:pPr>
        <w:spacing w:after="0" w:line="179"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Assets</w:t>
      </w:r>
      <w:r>
        <w:rPr>
          <w:rFonts w:ascii="Times New Roman" w:cs="Times New Roman" w:eastAsia="Times New Roman" w:hAnsi="Times New Roman"/>
          <w:sz w:val="19"/>
          <w:szCs w:val="19"/>
          <w:color w:val="auto"/>
        </w:rPr>
        <w:t>” means, with respect to any Receivable, (a) all of the applicable Seller’s interest in any goods, relating to any sale giving rise to such Receivable; (b) all rights to enforce payment of such Receivable under the related Contract; (c) all instruments and chattel paper that may evidence such Receivable; (d) all guaranties, insurance, and other agreements or arrangements of whatever character from time to time supporting payment of such Receivable whether pursuant to the Contract related to such Receivable or otherwise; (e) all security interests or liens and property subject thereto from time to time purporting to secure payment of such Receivable, whether pursuant to the Contract related to such Receivable or otherwise, together with all financing statements describing any collateral securing such Receivable; and (f) all books, records, and other information (including computer programs, tapes, discs, punch cards, data processing software, and related property and rights) directly relating to such Receivable and the applicable Account Debtor.</w:t>
      </w:r>
    </w:p>
    <w:p>
      <w:pPr>
        <w:spacing w:after="0" w:line="17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Repurchase Event</w:t>
      </w:r>
      <w:r>
        <w:rPr>
          <w:rFonts w:ascii="Times New Roman" w:cs="Times New Roman" w:eastAsia="Times New Roman" w:hAnsi="Times New Roman"/>
          <w:sz w:val="19"/>
          <w:szCs w:val="19"/>
          <w:color w:val="auto"/>
        </w:rPr>
        <w:t>” means, as to any Purchased Receivable, the occurrence of any of the following (a) such Purchased Receivable was not an Eligible Receivable at the time of purchase by Administrative Agent, for the benefit of Participating Purchasers, hereunder; (b) Sellers fail to perform or observe, in any material respect, any covenant set forth in this Agreement with respect to such Purchased Receivable; (c) the breach in any material respect of any representation or warranty made by any Seller in</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any of the Transaction Documents with respect to such Purchased Receivable; (d) [reserved]; (e) [reserved]; (f) [reserved]; (g) [reserved]; (h) such Purchased Receivable is unpaid, in whole or in part, on the Notification Date except to the extent the Account Debtor thereof is at any time from and after the Purchase Date subject to an Insolvency Event; (i) a Dispute is asserted with respect to such Purchased Receivable; or (j) the failure by any Seller to deliver to Administrative Agent any True Up Report when due with respect to such Purchased Receivable.</w:t>
      </w:r>
    </w:p>
    <w:p>
      <w:pPr>
        <w:spacing w:after="0" w:line="16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Repurchase Price</w:t>
      </w:r>
      <w:r>
        <w:rPr>
          <w:rFonts w:ascii="Times New Roman" w:cs="Times New Roman" w:eastAsia="Times New Roman" w:hAnsi="Times New Roman"/>
          <w:sz w:val="19"/>
          <w:szCs w:val="19"/>
          <w:color w:val="auto"/>
        </w:rPr>
        <w:t xml:space="preserve">” means, as to any Purchased Receivable subject to a Repurchase Event or repurchased by a Seller from Administrative Agent hereunder, an amount equal to (a) the portion of the Purchase Price already paid by Administrative Agent, for the benefit of Participating Purchasers, for such Purchased Receivable, net of any Collections or other payments received by Administrative Agent with respect to such Purchased Receivable,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Discount for such Purchased Receivable,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all other amounts then payable by the Sellers under the Transaction Documents with respect to such Purchased Receivable as of the date on which such Purchased Receivable is repurchased.</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Purchasers</w:t>
      </w:r>
      <w:r>
        <w:rPr>
          <w:rFonts w:ascii="Times New Roman" w:cs="Times New Roman" w:eastAsia="Times New Roman" w:hAnsi="Times New Roman"/>
          <w:sz w:val="19"/>
          <w:szCs w:val="19"/>
          <w:color w:val="auto"/>
        </w:rPr>
        <w:t>” means, at any time, the Purchasers of which represent more than fifty percent (50%) of the Outstanding Purchase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w:t>
      </w:r>
    </w:p>
    <w:p>
      <w:pPr>
        <w:spacing w:after="0" w:line="19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individually and collectively, respectively, any and all economic or financial sanctions, sectoral sanctions, secondary sanctions, trade embargoes, and anti-terrorism laws imposed, administered or enforced from time to time by: (a) the United States of America, including those administered by the U.S. Department of the Treasury’s Office of Foreign Assets Control (OFAC), the U.S. Department of State, the U.S. Department of Commerce, or through any existing or future statute or Executive Order, (b) the United Nations Security Council, (c) the European Union, (d) the United Kingdom, or (e) any other governmental authority with jurisdiction over a Seller.</w:t>
      </w:r>
    </w:p>
    <w:p>
      <w:pPr>
        <w:spacing w:after="0" w:line="16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Target</w:t>
      </w:r>
      <w:r>
        <w:rPr>
          <w:rFonts w:ascii="Times New Roman" w:cs="Times New Roman" w:eastAsia="Times New Roman" w:hAnsi="Times New Roman"/>
          <w:sz w:val="19"/>
          <w:szCs w:val="19"/>
          <w:color w:val="auto"/>
        </w:rPr>
        <w:t>” means any target of Sanctions, including: (a) Persons on any lists of targets identified or designated pursuant to any Sanctions, (b) Persons, countries, or territories that are the target of or subject to any comprehensive territorial or country-based Sanctions program (currently, Cuba, Iran, North Korea, Syria, and the occupied Crimea, Donetsk, and Luhansk regions of Ukraine), (c) Persons that are a target of or subject to Sanctions due to their ownership or control by any Sanctioned Target(s), or (d) otherwise a target of or subject to Sanctions, including vessels and aircraft, that are blocked under any Sanctions program.</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Seller’s Account</w:t>
      </w:r>
      <w:r>
        <w:rPr>
          <w:rFonts w:ascii="Times New Roman" w:cs="Times New Roman" w:eastAsia="Times New Roman" w:hAnsi="Times New Roman"/>
          <w:sz w:val="19"/>
          <w:szCs w:val="19"/>
          <w:color w:val="auto"/>
        </w:rPr>
        <w:t>” means (i) [***], and (ii) such other bank account identified in writing by Seller to Administrative Agent, and approved in writing from Administrative Agent to Seller, from time to time.</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Date</w:t>
      </w:r>
      <w:r>
        <w:rPr>
          <w:rFonts w:ascii="Times New Roman" w:cs="Times New Roman" w:eastAsia="Times New Roman" w:hAnsi="Times New Roman"/>
          <w:sz w:val="19"/>
          <w:szCs w:val="19"/>
          <w:color w:val="auto"/>
        </w:rPr>
        <w:t>” means, for any Purchased Receivable, five (5) Business Days, or such other date as agreed upon by Administrative Agent and the Sellers, after Administrative Agent, for the benefit of Participating Purchasers, receives, in good collected funds, payment in full of the Net Invoice Amount of such Purchased Receivable.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Settlement Payment</w:t>
      </w:r>
      <w:r>
        <w:rPr>
          <w:rFonts w:ascii="Times New Roman" w:cs="Times New Roman" w:eastAsia="Times New Roman" w:hAnsi="Times New Roman"/>
          <w:sz w:val="19"/>
          <w:szCs w:val="19"/>
          <w:color w:val="auto"/>
        </w:rPr>
        <w:t>” has the meaning set forth in Section 6.2(k).</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per annum equal to the secured overnight financing rate as administered by the SOFR Administrator.</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3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means with respect to such Person as at any date of determination, (a) the fair value of the property of such Person is greater than the total amount of liabilities, including contingent liabilities, of such Person on a consolidated basis (b) the present fair salable value of the assets of such Person is not less than the amount that will be required to pay the probable liability of such Person on its debts as they become absolute and matured, (c) that such Person is able to pay its debts as they become due and (d) that such Person maintains reasonably sufficient capital to carry on its business consistent with its practices as of the date hereof.</w:t>
      </w:r>
    </w:p>
    <w:p>
      <w:pPr>
        <w:spacing w:after="0" w:line="185"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any Purchased Receivable, (a) if the Term SOFR Administrator publishes the Term SOFR Reference Rate for the Applicable Tenor corresponding to the Discount Period for such Purchased Receivable, the Term SOFR Reference Rate for such Applicable Tenor on the day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xml:space="preserve">”) that is two U.S. Government Securities Business Days prior to the Purchase Date, as such rate is published by the Term SOFR Administrator or (b) if the Term SOFR Administrator does not publish the Term SOFR Reference Rate for the Applicable Tenor corresponding to the Discount Period for such Receivable, a rate per annum for such Applicable Tenor calculated by Administrative Agent (using its generally applicable interpolation policies) by interpolation of the Term SOFR Reference Rates actually published by the Term SOFR Administrator for different Applicable Tenors on the Term SOFR Determination Day, as such rates are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 if as of 5:00 p.m. (New York City time) on any Term SOFR Determination Day, the Term SOFR Reference Rate for an Applicable Tenor with respect to which the Term SOFR Administrator publishes a Term SOFR Reference Rate has not been so published by the Term SOFR Administrator and a Benchmark Replacement Date with respect to the Term SOFR Reference Rate has not occurred, then Term SOFR will be the Term SOFR Reference Rate for such Applicable Tenor as published by the Term SOFR Administrator on the first preceding U.S. Government Securities Business Day for which such Term SOFR Reference Rate for such Applicable Tenor was published by the Term SOFR Administrator so long as such first preceding U.S. Government Securities Business Day is not more than three (3) U.S. Government Securities Business Days prior to such Term SOFR Determination Day and (ii) if Term SOFR determined as provided above (including pursuant to clause (i) of this proviso) with respect to any Purchase Date would be less than the Floor, then Term SOFR shall be deemed to be the Floor:</w:t>
      </w:r>
    </w:p>
    <w:p>
      <w:pPr>
        <w:spacing w:after="0" w:line="208" w:lineRule="exact"/>
        <w:rPr>
          <w:sz w:val="20"/>
          <w:szCs w:val="20"/>
          <w:color w:val="auto"/>
        </w:rPr>
      </w:pPr>
    </w:p>
    <w:tbl>
      <w:tblPr>
        <w:tblLayout w:type="fixed"/>
        <w:tblInd w:w="950" w:type="dxa"/>
        <w:tblCellMar>
          <w:top w:w="0" w:type="dxa"/>
          <w:left w:w="0" w:type="dxa"/>
          <w:bottom w:w="0" w:type="dxa"/>
          <w:right w:w="0" w:type="dxa"/>
        </w:tblCellMar>
      </w:tblPr>
      <w:tr>
        <w:trPr>
          <w:trHeight w:val="258"/>
        </w:trPr>
        <w:tc>
          <w:tcPr>
            <w:tcW w:w="2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Discount Period</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Applicable Tenor</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Term SOFR Source</w:t>
            </w:r>
          </w:p>
        </w:tc>
      </w:tr>
      <w:tr>
        <w:trPr>
          <w:trHeight w:val="173"/>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0-30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1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Published by the Term SOFR</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Administrator</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rPr>
              <w:t>31-60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2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rPr>
              <w:t>61-90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3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Published by the Term SOFR</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Administrator</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91-120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4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bl>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950" w:type="dxa"/>
        <w:tblCellMar>
          <w:top w:w="0" w:type="dxa"/>
          <w:left w:w="0" w:type="dxa"/>
          <w:bottom w:w="0" w:type="dxa"/>
          <w:right w:w="0" w:type="dxa"/>
        </w:tblCellMar>
      </w:tblPr>
      <w:tr>
        <w:trPr>
          <w:trHeight w:val="258"/>
        </w:trPr>
        <w:tc>
          <w:tcPr>
            <w:tcW w:w="2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Discount Period</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Applicable Tenor</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Term SOFR Source</w:t>
            </w:r>
          </w:p>
        </w:tc>
      </w:tr>
      <w:tr>
        <w:trPr>
          <w:trHeight w:val="173"/>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121-150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5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151-180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6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Published by the Term SOFR</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Administrator</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181-210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7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211-240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8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241-270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9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271-300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10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301-330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6"/>
              </w:rPr>
              <w:t>11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Interpolated by Administrative</w:t>
            </w:r>
          </w:p>
        </w:tc>
      </w:tr>
      <w:tr>
        <w:trPr>
          <w:trHeight w:val="245"/>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Agent</w:t>
            </w:r>
          </w:p>
        </w:tc>
      </w:tr>
      <w:tr>
        <w:trPr>
          <w:trHeight w:val="174"/>
        </w:trPr>
        <w:tc>
          <w:tcPr>
            <w:tcW w:w="266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331-365 days</w:t>
            </w:r>
          </w:p>
        </w:tc>
        <w:tc>
          <w:tcPr>
            <w:tcW w:w="25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9"/>
              </w:rPr>
              <w:t>12 Month</w:t>
            </w:r>
          </w:p>
        </w:tc>
        <w:tc>
          <w:tcPr>
            <w:tcW w:w="27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w w:val="98"/>
              </w:rPr>
              <w:t>Published by the Term SOFR</w:t>
            </w:r>
          </w:p>
        </w:tc>
      </w:tr>
      <w:tr>
        <w:trPr>
          <w:trHeight w:val="185"/>
        </w:trPr>
        <w:tc>
          <w:tcPr>
            <w:tcW w:w="266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9"/>
                <w:szCs w:val="19"/>
                <w:color w:val="auto"/>
                <w:w w:val="99"/>
              </w:rPr>
              <w:t>Administrator, when operationally</w:t>
            </w:r>
          </w:p>
        </w:tc>
      </w:tr>
      <w:tr>
        <w:trPr>
          <w:trHeight w:val="249"/>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available at Administrative Agent</w:t>
            </w:r>
          </w:p>
        </w:tc>
      </w:tr>
    </w:tbl>
    <w:p>
      <w:pPr>
        <w:spacing w:after="0" w:line="2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purposes of clarity, (i) if the Discount Period is 62 days, Term SOFR shall be calculated pursuant to clause (a) above for an Applicable Tenor of three months and (ii) if the Discount Period is 95 days, Term SOFR shall be calculated pursuant to clause (b) above for an Applicable Tenor of four months. Each determination of Term SOFR shall be made by Administrative Agent and shall be conclusive in the absence of manifest error.</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Administrative Agent in its reasonable discretion).</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Event</w:t>
      </w:r>
      <w:r>
        <w:rPr>
          <w:rFonts w:ascii="Times New Roman" w:cs="Times New Roman" w:eastAsia="Times New Roman" w:hAnsi="Times New Roman"/>
          <w:sz w:val="19"/>
          <w:szCs w:val="19"/>
          <w:color w:val="auto"/>
        </w:rPr>
        <w:t>” has the meaning set forth in Section 7.1(b).</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Documents</w:t>
      </w:r>
      <w:r>
        <w:rPr>
          <w:rFonts w:ascii="Times New Roman" w:cs="Times New Roman" w:eastAsia="Times New Roman" w:hAnsi="Times New Roman"/>
          <w:sz w:val="19"/>
          <w:szCs w:val="19"/>
          <w:color w:val="auto"/>
        </w:rPr>
        <w:t>” means, collectively, the following (as the same now or hereafter exist): (a) this Agreement; (b) any guaranty or performance undertaking executed by any Person in favor of Administrative Agent for the benefit of the Purchasers with respect to the obligations of the Sellers under this Agreement; (c) each Offer; (d) each Additional Seller Joinder Agreement; and (e) all other documents expressly identified as “Transaction Documents” to be executed and delivered in connection with any of the foregoing.</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True Up Report</w:t>
      </w:r>
      <w:r>
        <w:rPr>
          <w:rFonts w:ascii="Times New Roman" w:cs="Times New Roman" w:eastAsia="Times New Roman" w:hAnsi="Times New Roman"/>
          <w:sz w:val="19"/>
          <w:szCs w:val="19"/>
          <w:color w:val="auto"/>
        </w:rPr>
        <w:t xml:space="preserve">” shall have the meaning set forth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(a) a Saturday, (b) a Sunday, or (c) a day on which the Securities Industry and Financial Markets Association recommends that</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fixed income departments of its members be closed for the entire day for purposes of trading in United States government securities.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means the Uniform Commercial Code as in effect in the State of New York, and any successor statute, as in effect from time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Benchmark Replacement excluding the Benchmark Replacement Adjustment.</w:t>
      </w:r>
    </w:p>
    <w:p>
      <w:pPr>
        <w:spacing w:after="0" w:line="19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8"/>
          <w:szCs w:val="18"/>
          <w:b w:val="1"/>
          <w:bCs w:val="1"/>
          <w:u w:val="single" w:color="auto"/>
          <w:color w:val="auto"/>
        </w:rPr>
        <w:t>Purchase and Sale of Receivables</w:t>
      </w:r>
    </w:p>
    <w:p>
      <w:pPr>
        <w:spacing w:after="0" w:line="18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u w:val="single" w:color="auto"/>
          <w:color w:val="auto"/>
        </w:rPr>
        <w:t>Purchase and Sale</w:t>
      </w:r>
    </w:p>
    <w:p>
      <w:pPr>
        <w:spacing w:after="0" w:line="168" w:lineRule="exact"/>
        <w:rPr>
          <w:sz w:val="20"/>
          <w:szCs w:val="20"/>
          <w:color w:val="auto"/>
        </w:rPr>
      </w:pPr>
    </w:p>
    <w:p>
      <w:pPr>
        <w:jc w:val="both"/>
        <w:ind w:firstLine="1241"/>
        <w:spacing w:after="0" w:line="215" w:lineRule="auto"/>
        <w:tabs>
          <w:tab w:leader="none" w:pos="1847"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of this Agreement, each Seller hereby offers to sell to Administrative Agent, for the Purchasers, one or more Eligible Receivables of such Seller by submitting Offers hereunder. Each Offer by a Seller shall constitute a representation and warranty by Sellers to Administrative Agent and Purchasers that each of the representations and warranties made by each Seller in this Agreement and each of the other Transaction Documents is true and correct in all material respects as of the date of such Offer (or, with respect to any representation or warranty that speaks as to a particular date or period, as of that particular date or period). Each Offer shall be made by Posting such Offer to the Platform;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in the event the Platform Manager determines that the Platform is unavailable for Postings for any reason or in any event at Administrative Agent’s discretion, Sellers may continue to offer Eligible Receivables for purchase by Administrative Agent for the Purchasers by submitting to Administrative Agent a Purchase Request. Each Purchase Request shall constitute a Posting and an Offer for all purposes of this Agreement.</w:t>
      </w:r>
    </w:p>
    <w:p>
      <w:pPr>
        <w:spacing w:after="0" w:line="146" w:lineRule="exact"/>
        <w:rPr>
          <w:rFonts w:ascii="Times New Roman" w:cs="Times New Roman" w:eastAsia="Times New Roman" w:hAnsi="Times New Roman"/>
          <w:sz w:val="19"/>
          <w:szCs w:val="19"/>
          <w:color w:val="auto"/>
        </w:rPr>
      </w:pPr>
    </w:p>
    <w:p>
      <w:pPr>
        <w:jc w:val="both"/>
        <w:ind w:firstLine="1241"/>
        <w:spacing w:after="0" w:line="233" w:lineRule="auto"/>
        <w:tabs>
          <w:tab w:leader="none" w:pos="18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8:00 a.m. New York time at least two (2) Business Days prior to a Purchase Date on which the Seller intends for the Administrative Agent, on behalf of the Purchasers, to purchase Eligible Receivables, the Administrative Agent shall have received an Offer for the Eligible Receivables to be sold on such Purchase Date, which the Administrative Agent shall promptly, and if received by 8:00 a.m. New York time on the day of receipt thereof from the Seller, by no later than 11:00 a.m. New York time on such date, transmit to each Purchaser, together with an estimate prepared by the Administrative Agent of the Purchase Price for such Eligible Receivables, and the Pro Rata Share of each such Purchaser.</w:t>
      </w:r>
    </w:p>
    <w:p>
      <w:pPr>
        <w:spacing w:after="0" w:line="155" w:lineRule="exact"/>
        <w:rPr>
          <w:rFonts w:ascii="Times New Roman" w:cs="Times New Roman" w:eastAsia="Times New Roman" w:hAnsi="Times New Roman"/>
          <w:sz w:val="18"/>
          <w:szCs w:val="18"/>
          <w:color w:val="auto"/>
        </w:rPr>
      </w:pPr>
    </w:p>
    <w:p>
      <w:pPr>
        <w:jc w:val="both"/>
        <w:ind w:firstLine="1241"/>
        <w:spacing w:after="0" w:line="222" w:lineRule="auto"/>
        <w:tabs>
          <w:tab w:leader="none" w:pos="1847"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2:00 p.m. New York time on the second (2nd) Business Day prior to such Purchase Date, each Purchaser shall notify the Administrative Agent of whether it has agreed, in its sole discretion, to purchase the Eligible Receivables set forth in the applicable Offer on the next Purchase Date; provided, if any Purchaser fails to promptly notify the Administrative Agent of its decision to purchase any Eligible Receivable, such Purchaser shall be deemed to have decided to not purchase its Pro Rata Share of such Eligible Receivables.</w:t>
      </w:r>
    </w:p>
    <w:p>
      <w:pPr>
        <w:spacing w:after="0" w:line="145"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2:30 p.m. New York time two (2) Business Days prior to such Purchase Date:</w:t>
      </w:r>
    </w:p>
    <w:p>
      <w:pPr>
        <w:spacing w:after="0" w:line="194" w:lineRule="exact"/>
        <w:rPr>
          <w:rFonts w:ascii="Times New Roman" w:cs="Times New Roman" w:eastAsia="Times New Roman" w:hAnsi="Times New Roman"/>
          <w:sz w:val="19"/>
          <w:szCs w:val="19"/>
          <w:color w:val="auto"/>
        </w:rPr>
      </w:pPr>
    </w:p>
    <w:p>
      <w:pPr>
        <w:jc w:val="both"/>
        <w:ind w:left="1240" w:firstLine="620"/>
        <w:spacing w:after="0" w:line="254" w:lineRule="auto"/>
        <w:tabs>
          <w:tab w:leader="none" w:pos="248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notify the Seller of the Purchasers that shall purchase the applicable Eligible Receivables on such Purchase Date (each, a “Participating Purchaser”), which notice shall have attached thereto a list of the applicable Eligible Receivables subject to such Offer that such Participating Purchasers are willing to purchase (such list, an “Acceptance”); provided, if, in accordance with Section 2.1(c), the aggregate amount to be paid by the applicable Participating Purchasers is less than the Purchase Price for the Eligible Receivables set forth in the applicable Offer, then the Administrative Agent shall, in its reasonable determination, reduce the</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9"/>
          <w:szCs w:val="19"/>
          <w:color w:val="auto"/>
        </w:rPr>
        <w:t>number of Eligible Receivables subject to such Acceptance so that the Purchase Price thereof shall be equal to or less than the amount to be paid by the applicable Participating Purchasers; and</w:t>
      </w:r>
    </w:p>
    <w:p>
      <w:pPr>
        <w:spacing w:after="0" w:line="219" w:lineRule="exact"/>
        <w:rPr>
          <w:sz w:val="20"/>
          <w:szCs w:val="20"/>
          <w:color w:val="auto"/>
        </w:rPr>
      </w:pPr>
    </w:p>
    <w:p>
      <w:pPr>
        <w:jc w:val="both"/>
        <w:ind w:left="120" w:firstLine="1238"/>
        <w:spacing w:after="0" w:line="249" w:lineRule="auto"/>
        <w:tabs>
          <w:tab w:leader="none" w:pos="1973" w:val="left"/>
        </w:tabs>
        <w:numPr>
          <w:ilvl w:val="2"/>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(ii) the Administrative Agent shall calculate the Purchase Price for such Eligible Receivables and promptly send such calculation together with the applicable Acceptance to the Seller and each of the Participating Purchasers, together with the Pro Rata Share of each of such Participating Purchaser (giving effect to Section 2.1(c); provided, each Participating Purchaser shall have the right, but not the obligation, to increase the Dollar amount of its share of the Purchase Price above the Dollar amount of its Pro Rata Share of the Purchase Price for such Eligible Receivables as indicated to the Administrative Agent in accordance with Section 2.1(d)(i) by delivering to the Administrative Agent before 3:00 p.m. New York time two (2) Business Days prior to such Purchase Date such Participating Purchaser’s confirmation of such increased amount and upon receipt thereof, the Administrative Agent shall revise the Acceptance, which revision shall be determined by the Administrative Agent in its reasonable discretion and giving Pro Rata Share effect to each such Participating Purchaser’s confirmation, and promptly send the revised Acceptance to the Seller and each of the Participating Purchasers, together with the Pro Rata Share of each of such Participating Purchaser (giving effect to this proviso).</w:t>
      </w:r>
    </w:p>
    <w:p>
      <w:pPr>
        <w:spacing w:after="0" w:line="164" w:lineRule="exact"/>
        <w:rPr>
          <w:rFonts w:ascii="Times New Roman" w:cs="Times New Roman" w:eastAsia="Times New Roman" w:hAnsi="Times New Roman"/>
          <w:sz w:val="21"/>
          <w:szCs w:val="21"/>
          <w:color w:val="auto"/>
        </w:rPr>
      </w:pPr>
    </w:p>
    <w:p>
      <w:pPr>
        <w:jc w:val="both"/>
        <w:ind w:left="-1120" w:firstLine="1241"/>
        <w:spacing w:after="0" w:line="219" w:lineRule="auto"/>
        <w:tabs>
          <w:tab w:leader="none" w:pos="73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shall, as consideration for the sale and assignment to Administrative Agent, for the benefit of Participating Purchasers, of the Eligible Receivable(s) subject to such Offer, pay to the applicable Seller on behalf of the Participating Purchasers the Purchase Price therefor in accordance with this Agreement. The Initial Payment of the Purchase Price for an Eligible Receivable set forth in an Offer that is subject to an Acceptance shall be paid to the applicable Seller’s Account at the time of such Acceptance. The Deferred Payment of the Purchase Price for an Eligible Receivable subject to Acceptance by Administrative Agent shall be paid to the applicable Seller’s Account on the Settlement Date of such Eligible Receivable.</w:t>
      </w:r>
    </w:p>
    <w:p>
      <w:pPr>
        <w:spacing w:after="0" w:line="144" w:lineRule="exact"/>
        <w:rPr>
          <w:rFonts w:ascii="Times New Roman" w:cs="Times New Roman" w:eastAsia="Times New Roman" w:hAnsi="Times New Roman"/>
          <w:sz w:val="19"/>
          <w:szCs w:val="19"/>
          <w:color w:val="auto"/>
        </w:rPr>
      </w:pPr>
    </w:p>
    <w:p>
      <w:pPr>
        <w:ind w:left="720" w:hanging="599"/>
        <w:spacing w:after="0"/>
        <w:tabs>
          <w:tab w:leader="none" w:pos="72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purchase of an Eligible Receivable on a Purchase Date:</w:t>
      </w:r>
    </w:p>
    <w:p>
      <w:pPr>
        <w:spacing w:after="0" w:line="194" w:lineRule="exact"/>
        <w:rPr>
          <w:rFonts w:ascii="Times New Roman" w:cs="Times New Roman" w:eastAsia="Times New Roman" w:hAnsi="Times New Roman"/>
          <w:sz w:val="19"/>
          <w:szCs w:val="19"/>
          <w:color w:val="auto"/>
        </w:rPr>
      </w:pPr>
    </w:p>
    <w:p>
      <w:pPr>
        <w:jc w:val="both"/>
        <w:ind w:left="-1040" w:firstLine="1779"/>
        <w:spacing w:after="0" w:line="254" w:lineRule="auto"/>
        <w:tabs>
          <w:tab w:leader="none" w:pos="1347"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Participating Purchaser shall make its Pro Rata Share of (x) the Initial Payment for the Eligible Receivables to be purchased by the Administrative Agent, for the benefit of such Participating Purchasers, on such Purchase Date available to the Administrative Agent not later than 11:00 a.m. New York time on such Purchase Date by wire transfer of same day funds in Dollars, to the Administrative Agent Payment Account; and (y) the Deferred Payment for the Purchased Receivables on the applicable Settlement Date available to the Administrative Agent not later than 11:00 a.m. New York time on such Settlement Date by wire transfer of same day funds in Dollars, to the Administrative Agent Payment Account.</w:t>
      </w:r>
    </w:p>
    <w:p>
      <w:pPr>
        <w:spacing w:after="0" w:line="185" w:lineRule="exact"/>
        <w:rPr>
          <w:rFonts w:ascii="Times New Roman" w:cs="Times New Roman" w:eastAsia="Times New Roman" w:hAnsi="Times New Roman"/>
          <w:sz w:val="19"/>
          <w:szCs w:val="19"/>
          <w:color w:val="auto"/>
        </w:rPr>
      </w:pPr>
    </w:p>
    <w:p>
      <w:pPr>
        <w:jc w:val="both"/>
        <w:ind w:left="-1040" w:firstLine="1779"/>
        <w:spacing w:after="0" w:line="254" w:lineRule="auto"/>
        <w:tabs>
          <w:tab w:leader="none" w:pos="1348"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receipt of the amounts set forth in </w:t>
      </w:r>
      <w:r>
        <w:rPr>
          <w:rFonts w:ascii="Times New Roman" w:cs="Times New Roman" w:eastAsia="Times New Roman" w:hAnsi="Times New Roman"/>
          <w:sz w:val="19"/>
          <w:szCs w:val="19"/>
          <w:u w:val="single" w:color="auto"/>
          <w:color w:val="auto"/>
        </w:rPr>
        <w:t>Section 2.1(f)(i)</w:t>
      </w:r>
      <w:r>
        <w:rPr>
          <w:rFonts w:ascii="Times New Roman" w:cs="Times New Roman" w:eastAsia="Times New Roman" w:hAnsi="Times New Roman"/>
          <w:sz w:val="19"/>
          <w:szCs w:val="19"/>
          <w:color w:val="auto"/>
        </w:rPr>
        <w:t>, the Administrative Agent, on behalf of such Participating Purchasers, shall pay the Initial Payment to the Seller for the Eligible Receivables sold to the Administrative Agent, on behalf of such Participating Purchasers, on such Purchase Date by 3:00 p.m. New York time on such Purchase Date. Subject to the foregoing, (i) the Administrative Agent, on behalf of such Participating Purchasers, shall purchase from the Seller on the applicable Purchase Date, each Eligible Receivable described in the Acceptance or</w:t>
      </w:r>
    </w:p>
    <w:p>
      <w:pPr>
        <w:sectPr>
          <w:pgSz w:w="11900" w:h="16838" w:orient="portrait"/>
          <w:cols w:equalWidth="0" w:num="1">
            <w:col w:w="10120"/>
          </w:cols>
          <w:pgMar w:left="1440" w:top="1440"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9"/>
          <w:szCs w:val="19"/>
          <w:color w:val="auto"/>
        </w:rPr>
        <w:t>Revised Acceptance, as applicable (such Receivables, once sold and purchased, “</w:t>
      </w:r>
      <w:r>
        <w:rPr>
          <w:rFonts w:ascii="Times New Roman" w:cs="Times New Roman" w:eastAsia="Times New Roman" w:hAnsi="Times New Roman"/>
          <w:sz w:val="19"/>
          <w:szCs w:val="19"/>
          <w:u w:val="single" w:color="auto"/>
          <w:color w:val="auto"/>
        </w:rPr>
        <w:t>Purchased Receivables</w:t>
      </w:r>
      <w:r>
        <w:rPr>
          <w:rFonts w:ascii="Times New Roman" w:cs="Times New Roman" w:eastAsia="Times New Roman" w:hAnsi="Times New Roman"/>
          <w:sz w:val="19"/>
          <w:szCs w:val="19"/>
          <w:color w:val="auto"/>
        </w:rPr>
        <w:t xml:space="preserve">”), and (ii) in consideration of the payment by the Administrative Agent, on behalf of such Participating Purchasers, on such Purchase Date, to the Seller of the Initial Payment for each such Receivable, the Seller shall on the Purchase Date be deemed to have sold, assigned and transferred to the Administrative Agent, for the benefit of such Participating Purchasers, all of the Seller’s right, title and interest in and to such Receivable as absolute and sole legal and beneficial owner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notwithstanding anything herein to the contrary, unless and until the Administrative Agent shall have received each such Participating Purchaser’s Pro Rata Share of the applicable Initial Payment in connection with any requested purchase of Eligible Receivable in accordance with </w:t>
      </w:r>
      <w:r>
        <w:rPr>
          <w:rFonts w:ascii="Times New Roman" w:cs="Times New Roman" w:eastAsia="Times New Roman" w:hAnsi="Times New Roman"/>
          <w:sz w:val="19"/>
          <w:szCs w:val="19"/>
          <w:u w:val="single" w:color="auto"/>
          <w:color w:val="auto"/>
        </w:rPr>
        <w:t>Section 2.1(f)</w:t>
      </w:r>
      <w:r>
        <w:rPr>
          <w:rFonts w:ascii="Times New Roman" w:cs="Times New Roman" w:eastAsia="Times New Roman" w:hAnsi="Times New Roman"/>
          <w:sz w:val="19"/>
          <w:szCs w:val="19"/>
          <w:color w:val="auto"/>
        </w:rPr>
        <w:t>, neither the Administrative Agent nor any other such Participating Purchaser shall have any obligation to make any purchase of any Receivable.</w:t>
      </w:r>
    </w:p>
    <w:p>
      <w:pPr>
        <w:spacing w:after="0" w:line="176" w:lineRule="exact"/>
        <w:rPr>
          <w:sz w:val="20"/>
          <w:szCs w:val="20"/>
          <w:color w:val="auto"/>
        </w:rPr>
      </w:pPr>
    </w:p>
    <w:p>
      <w:pPr>
        <w:jc w:val="both"/>
        <w:ind w:left="80" w:firstLine="1779"/>
        <w:spacing w:after="0" w:line="252" w:lineRule="auto"/>
        <w:tabs>
          <w:tab w:leader="none" w:pos="2469"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Participating Purchaser (a “</w:t>
      </w:r>
      <w:r>
        <w:rPr>
          <w:rFonts w:ascii="Times New Roman" w:cs="Times New Roman" w:eastAsia="Times New Roman" w:hAnsi="Times New Roman"/>
          <w:sz w:val="19"/>
          <w:szCs w:val="19"/>
          <w:u w:val="single" w:color="auto"/>
          <w:color w:val="auto"/>
        </w:rPr>
        <w:t>Defaulting Participating Purchaser</w:t>
      </w:r>
      <w:r>
        <w:rPr>
          <w:rFonts w:ascii="Times New Roman" w:cs="Times New Roman" w:eastAsia="Times New Roman" w:hAnsi="Times New Roman"/>
          <w:sz w:val="19"/>
          <w:szCs w:val="19"/>
          <w:color w:val="auto"/>
        </w:rPr>
        <w:t xml:space="preserve">”) fails to make its Pro Rata Share of the Initial Payment (or any portion thereof) available to the Administrative Agent on a Purchase Date in accordance with </w:t>
      </w:r>
      <w:r>
        <w:rPr>
          <w:rFonts w:ascii="Times New Roman" w:cs="Times New Roman" w:eastAsia="Times New Roman" w:hAnsi="Times New Roman"/>
          <w:sz w:val="19"/>
          <w:szCs w:val="19"/>
          <w:u w:val="single" w:color="auto"/>
          <w:color w:val="auto"/>
        </w:rPr>
        <w:t>Section 2.1(f)(i)</w:t>
      </w:r>
      <w:r>
        <w:rPr>
          <w:rFonts w:ascii="Times New Roman" w:cs="Times New Roman" w:eastAsia="Times New Roman" w:hAnsi="Times New Roman"/>
          <w:sz w:val="19"/>
          <w:szCs w:val="19"/>
          <w:color w:val="auto"/>
        </w:rPr>
        <w:t xml:space="preserve"> or its Pro Rata Share of the Deferred Payment for a Purchased Receivable on a Settlement Date in accordance with </w:t>
      </w:r>
      <w:r>
        <w:rPr>
          <w:rFonts w:ascii="Times New Roman" w:cs="Times New Roman" w:eastAsia="Times New Roman" w:hAnsi="Times New Roman"/>
          <w:sz w:val="19"/>
          <w:szCs w:val="19"/>
          <w:u w:val="single" w:color="auto"/>
          <w:color w:val="auto"/>
        </w:rPr>
        <w:t>Section 2.1(f)(i)</w:t>
      </w:r>
      <w:r>
        <w:rPr>
          <w:rFonts w:ascii="Times New Roman" w:cs="Times New Roman" w:eastAsia="Times New Roman" w:hAnsi="Times New Roman"/>
          <w:sz w:val="19"/>
          <w:szCs w:val="19"/>
          <w:color w:val="auto"/>
        </w:rPr>
        <w:t xml:space="preserve"> (any such amount, the “</w:t>
      </w:r>
      <w:r>
        <w:rPr>
          <w:rFonts w:ascii="Times New Roman" w:cs="Times New Roman" w:eastAsia="Times New Roman" w:hAnsi="Times New Roman"/>
          <w:sz w:val="19"/>
          <w:szCs w:val="19"/>
          <w:u w:val="single" w:color="auto"/>
          <w:color w:val="auto"/>
        </w:rPr>
        <w:t>Defaulted Share</w:t>
      </w:r>
      <w:r>
        <w:rPr>
          <w:rFonts w:ascii="Times New Roman" w:cs="Times New Roman" w:eastAsia="Times New Roman" w:hAnsi="Times New Roman"/>
          <w:sz w:val="19"/>
          <w:szCs w:val="19"/>
          <w:color w:val="auto"/>
        </w:rPr>
        <w:t>”), the Administrative Agent shall revise the applicable Acceptance (a “</w:t>
      </w:r>
      <w:r>
        <w:rPr>
          <w:rFonts w:ascii="Times New Roman" w:cs="Times New Roman" w:eastAsia="Times New Roman" w:hAnsi="Times New Roman"/>
          <w:sz w:val="19"/>
          <w:szCs w:val="19"/>
          <w:u w:val="single" w:color="auto"/>
          <w:color w:val="auto"/>
        </w:rPr>
        <w:t>Revised Acceptance</w:t>
      </w:r>
      <w:r>
        <w:rPr>
          <w:rFonts w:ascii="Times New Roman" w:cs="Times New Roman" w:eastAsia="Times New Roman" w:hAnsi="Times New Roman"/>
          <w:sz w:val="19"/>
          <w:szCs w:val="19"/>
          <w:color w:val="auto"/>
        </w:rPr>
        <w:t xml:space="preserve">”) (which Revised Acceptance must be acceptable to the applicable Seller) to determine the Eligible Receivables that shall be acquired by the non-Defaulting Participating Purchasers on such Purchase Date or Settlement Date, as the case may be (which revision shall be determined by the Administrative Agent in its reasonable discretion). The Purchase Price thereof shall be equal or less than the aggregate amount funded by such non-Defaulting Participating Purchasers in accordance with </w:t>
      </w:r>
      <w:r>
        <w:rPr>
          <w:rFonts w:ascii="Times New Roman" w:cs="Times New Roman" w:eastAsia="Times New Roman" w:hAnsi="Times New Roman"/>
          <w:sz w:val="19"/>
          <w:szCs w:val="19"/>
          <w:u w:val="single" w:color="auto"/>
          <w:color w:val="auto"/>
        </w:rPr>
        <w:t>Section 2.1(f)(i)</w:t>
      </w:r>
      <w:r>
        <w:rPr>
          <w:rFonts w:ascii="Times New Roman" w:cs="Times New Roman" w:eastAsia="Times New Roman" w:hAnsi="Times New Roman"/>
          <w:sz w:val="19"/>
          <w:szCs w:val="19"/>
          <w:color w:val="auto"/>
        </w:rPr>
        <w:t xml:space="preserve">, and the Administrative Agent shall promptly send such Revised Acceptance to the Seller and each of the non-Defaulting Participating Purchasers. The Administrative Agent shall return any amount funded by such non- Defaulting Participating Purchasers in excess of the Purchase Price paid with respect to any Revised Acceptance prior to the close of business on such Purchase Date or Settlement Date, as the case may be, to each non-Defaulting Participating Purchaser, and each Defaulting Participating Purchaser (and not the Seller) shall be liable to each such non-Defaulting Participating Purchaser for any amount determined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2.1(i)</w:t>
      </w:r>
      <w:r>
        <w:rPr>
          <w:rFonts w:ascii="Times New Roman" w:cs="Times New Roman" w:eastAsia="Times New Roman" w:hAnsi="Times New Roman"/>
          <w:sz w:val="19"/>
          <w:szCs w:val="19"/>
          <w:color w:val="auto"/>
        </w:rPr>
        <w:t xml:space="preserve"> on account of the return of such amount to such non-Defaulting Participating Purchaser.</w:t>
      </w:r>
    </w:p>
    <w:p>
      <w:pPr>
        <w:spacing w:after="0" w:line="163"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44"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on behalf of the Participating Purchasers, shall purchase each Purchased Receivable hereunder on a Purchase Date in accordance with the Participating Purchasers’ respective Pro Rata Shares;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no Participating Purchaser’s Pro Rata Share of the then Outstanding Purchasing Price (after giving effect to such purchase) as of such Purchase Date shall exceed such Participant’s Facility Share as of such date (unless previously agreed to in writing by such Participating Purchaser).</w:t>
      </w:r>
    </w:p>
    <w:p>
      <w:pPr>
        <w:spacing w:after="0" w:line="158" w:lineRule="exact"/>
        <w:rPr>
          <w:rFonts w:ascii="Times New Roman" w:cs="Times New Roman" w:eastAsia="Times New Roman" w:hAnsi="Times New Roman"/>
          <w:sz w:val="19"/>
          <w:szCs w:val="19"/>
          <w:color w:val="auto"/>
        </w:rPr>
      </w:pPr>
    </w:p>
    <w:p>
      <w:pPr>
        <w:jc w:val="both"/>
        <w:ind w:firstLine="1241"/>
        <w:spacing w:after="0" w:line="217" w:lineRule="auto"/>
        <w:tabs>
          <w:tab w:leader="none" w:pos="1854"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and each Participating Purchaser may keep records of all purchases and evidence of the dates and amounts of purchases and the applicable Discount Rate in effect from time to time. Such records shall be presumptive evidence but the failure to record any purchase shall not limit or otherwise affect any obligations of the Seller hereunder to make payments on the Purchased Eligible Receivable when due;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in the event of any inconsistency between the Administrative Agent’s records and any Participating Purchaser’s records, the recordations in the Administrative Agent’s records shall govern.</w:t>
      </w:r>
    </w:p>
    <w:p>
      <w:pPr>
        <w:spacing w:after="0" w:line="15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u w:val="single" w:color="auto"/>
          <w:color w:val="auto"/>
        </w:rPr>
        <w:t>No Commitment to Purchase; No Liability</w:t>
      </w:r>
      <w:r>
        <w:rPr>
          <w:rFonts w:ascii="Times New Roman" w:cs="Times New Roman" w:eastAsia="Times New Roman" w:hAnsi="Times New Roman"/>
          <w:sz w:val="19"/>
          <w:szCs w:val="19"/>
          <w:color w:val="auto"/>
        </w:rPr>
        <w:t>. Sellers shall have no obligation to Offer or sell any Receivables and Administrative</w:t>
      </w:r>
    </w:p>
    <w:p>
      <w:pPr>
        <w:spacing w:after="0" w:line="222" w:lineRule="auto"/>
        <w:rPr>
          <w:sz w:val="20"/>
          <w:szCs w:val="20"/>
          <w:color w:val="auto"/>
        </w:rPr>
      </w:pPr>
      <w:r>
        <w:rPr>
          <w:rFonts w:ascii="Times New Roman" w:cs="Times New Roman" w:eastAsia="Times New Roman" w:hAnsi="Times New Roman"/>
          <w:sz w:val="19"/>
          <w:szCs w:val="19"/>
          <w:color w:val="auto"/>
        </w:rPr>
        <w:t>Agent and Purchasers shall have no obligation to accept, via Acceptance or otherwise, any Offer or otherwise to purchase any Receivable from any Seller and this Agreement does not constitute a commitment on the part of Administrative Agent or any Purchasers to</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9"/>
          <w:szCs w:val="19"/>
          <w:color w:val="auto"/>
        </w:rPr>
        <w:t>make any such purchase. No such obligation or commitment with respect to any Offer or Receivable shall be implied by any act or omission of Administrative Agent or any Purchaser, or on their respective behalf, other than the payment by Administrative Agent, on behalf of Purchasers, to</w:t>
      </w:r>
    </w:p>
    <w:p>
      <w:pPr>
        <w:spacing w:after="0" w:line="224" w:lineRule="auto"/>
        <w:rPr>
          <w:sz w:val="20"/>
          <w:szCs w:val="20"/>
          <w:color w:val="auto"/>
        </w:rPr>
      </w:pPr>
      <w:r>
        <w:rPr>
          <w:rFonts w:ascii="Times New Roman" w:cs="Times New Roman" w:eastAsia="Times New Roman" w:hAnsi="Times New Roman"/>
          <w:sz w:val="18"/>
          <w:szCs w:val="18"/>
          <w:color w:val="auto"/>
        </w:rPr>
        <w:t>the applicable Seller of the Initial Payment of the Purchase Price for such Purchased Receivable in accordance with the terms hereof. Administrative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Agent and Purchasers shall have no liability to any Seller or to any other Person for declining to accept any Offer hereunder and no obligation or commitment to make purchases shall be implied by an act or omission of Administrative Agent or any Purchasers or any course of dealings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connection with purchases made hereunder.</w:t>
      </w:r>
    </w:p>
    <w:p>
      <w:pPr>
        <w:spacing w:after="0" w:line="161" w:lineRule="exact"/>
        <w:rPr>
          <w:sz w:val="20"/>
          <w:szCs w:val="20"/>
          <w:color w:val="auto"/>
        </w:rPr>
      </w:pPr>
    </w:p>
    <w:p>
      <w:pPr>
        <w:ind w:firstLine="619"/>
        <w:spacing w:after="0" w:line="22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Purchase Limit</w:t>
      </w:r>
      <w:r>
        <w:rPr>
          <w:rFonts w:ascii="Times New Roman" w:cs="Times New Roman" w:eastAsia="Times New Roman" w:hAnsi="Times New Roman"/>
          <w:sz w:val="18"/>
          <w:szCs w:val="18"/>
          <w:color w:val="auto"/>
        </w:rPr>
        <w:t xml:space="preserve">. Without limiting the uncommitted nature of the agreement of Administrative Agent and Purchasers to purchase Receivables hereunder and subject to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Sellers acknowledge and agree that Administrative Agent and Purchasers shall not be obligated</w:t>
      </w:r>
    </w:p>
    <w:p>
      <w:pPr>
        <w:spacing w:after="0" w:line="213" w:lineRule="auto"/>
        <w:rPr>
          <w:sz w:val="20"/>
          <w:szCs w:val="20"/>
          <w:color w:val="auto"/>
        </w:rPr>
      </w:pPr>
      <w:r>
        <w:rPr>
          <w:rFonts w:ascii="Times New Roman" w:cs="Times New Roman" w:eastAsia="Times New Roman" w:hAnsi="Times New Roman"/>
          <w:sz w:val="19"/>
          <w:szCs w:val="19"/>
          <w:color w:val="auto"/>
        </w:rPr>
        <w:t>to purchase any Receivables offered for sale hereunder if, immediately following the sale and purchase of such Receivables, (a) the Outstanding</w:t>
      </w:r>
    </w:p>
    <w:p>
      <w:pPr>
        <w:jc w:val="both"/>
        <w:spacing w:after="0" w:line="216" w:lineRule="auto"/>
        <w:rPr>
          <w:sz w:val="20"/>
          <w:szCs w:val="20"/>
          <w:color w:val="auto"/>
        </w:rPr>
      </w:pPr>
      <w:r>
        <w:rPr>
          <w:rFonts w:ascii="Times New Roman" w:cs="Times New Roman" w:eastAsia="Times New Roman" w:hAnsi="Times New Roman"/>
          <w:sz w:val="18"/>
          <w:szCs w:val="18"/>
          <w:color w:val="auto"/>
        </w:rPr>
        <w:t>Purchase Price of all Purchased Receivables would exceed the Purchase Limit or (b) the Outstanding Purchase Price of Purchased Receivables owing by any Account Debtor would exceed such Account Debtor’s Purchase Limit. In the event that, after giving effect to Acceptance of an Offer,</w:t>
      </w:r>
    </w:p>
    <w:p>
      <w:pPr>
        <w:spacing w:after="0" w:line="225" w:lineRule="auto"/>
        <w:rPr>
          <w:sz w:val="20"/>
          <w:szCs w:val="20"/>
          <w:color w:val="auto"/>
        </w:rPr>
      </w:pPr>
      <w:r>
        <w:rPr>
          <w:rFonts w:ascii="Times New Roman" w:cs="Times New Roman" w:eastAsia="Times New Roman" w:hAnsi="Times New Roman"/>
          <w:sz w:val="18"/>
          <w:szCs w:val="18"/>
          <w:color w:val="auto"/>
        </w:rPr>
        <w:t>the Outstanding Purchase Price would exceed any Purchase Limit, such Acceptance shall only be effective as to the amount of those Receivables (as</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identified by Administrative Agent and promptly notified in writing to the Sellers) that would not cause the Outstanding Purchase Price to exceed any such Purchase Limit.</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u w:val="single" w:color="auto"/>
          <w:color w:val="auto"/>
        </w:rPr>
        <w:t>No Recourse</w:t>
      </w:r>
      <w:r>
        <w:rPr>
          <w:rFonts w:ascii="Times New Roman" w:cs="Times New Roman" w:eastAsia="Times New Roman" w:hAnsi="Times New Roman"/>
          <w:sz w:val="19"/>
          <w:szCs w:val="19"/>
          <w:color w:val="auto"/>
        </w:rPr>
        <w:t>. Except as specifically provided in this Agreement, the sale and purchase of Receivables under this Agreement shall</w:t>
      </w:r>
    </w:p>
    <w:p>
      <w:pPr>
        <w:spacing w:after="0" w:line="222" w:lineRule="auto"/>
        <w:rPr>
          <w:sz w:val="20"/>
          <w:szCs w:val="20"/>
          <w:color w:val="auto"/>
        </w:rPr>
      </w:pPr>
      <w:r>
        <w:rPr>
          <w:rFonts w:ascii="Times New Roman" w:cs="Times New Roman" w:eastAsia="Times New Roman" w:hAnsi="Times New Roman"/>
          <w:sz w:val="19"/>
          <w:szCs w:val="19"/>
          <w:color w:val="auto"/>
        </w:rPr>
        <w:t>be without recourse to Sellers. Purchasers shall be responsible for the non-payment of any Purchased Receivable to the extent resulting solely from, and shall bear the losses resulting solely from, an Insolvency Event of the applicable Account Debtor of such Purchased Receivable.</w:t>
      </w:r>
    </w:p>
    <w:p>
      <w:pPr>
        <w:spacing w:after="0" w:line="156"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No Assumption of Obligations Relating to Receivables or Contracts</w:t>
      </w:r>
      <w:r>
        <w:rPr>
          <w:rFonts w:ascii="Times New Roman" w:cs="Times New Roman" w:eastAsia="Times New Roman" w:hAnsi="Times New Roman"/>
          <w:sz w:val="19"/>
          <w:szCs w:val="19"/>
          <w:color w:val="auto"/>
        </w:rPr>
        <w:t>. Administrative Agent and Purchasers shall not have any obligation or liability to any Account Debtor (including any obligation under any Contract or any other related agreements).</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8"/>
          <w:szCs w:val="18"/>
          <w:u w:val="single" w:color="auto"/>
          <w:color w:val="auto"/>
        </w:rPr>
        <w:t>True Sales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13" w:lineRule="auto"/>
        <w:tabs>
          <w:tab w:leader="none" w:pos="1847"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Sellers, Administrative Agent and Purchasers have structured the transactions contemplated by this Agreement as a sale and intend the transfer and conveyance of Purchased Receivables hereunder to be absolute and irrevocable true sales by Sellers to Administrative Agent for the benefit of Participating Purchasers, that provide Administrative Agent, for the benefit of Participating Purchasers, with the full benefits and burdens of ownership of the Purchased Receivables. Neither Sellers, Administrative Agent nor Purchasers intends the transactions contemplated hereunder to be, or for any purpose to be characterized as, loans from Administrative Agent or Purchasers to Sellers. Sellers, Administrative Agent and Purchasers shall treat the transactions hereunder as true sales for all purposes under applicable law and GAAP, including, in their respective books, records, computer files, tax returns (federal, state, local and foreign), and regulatory and governmental filings (and shall reflect such sale in their respective financial statements). Sellers will advise all Persons inquiring about the ownership of the Purchased Receivables that all Purchased Receivables have been sold to Administrative Agent for the benefit of Participating Purchasers.</w:t>
      </w:r>
    </w:p>
    <w:p>
      <w:pPr>
        <w:spacing w:after="0" w:line="162" w:lineRule="exact"/>
        <w:rPr>
          <w:rFonts w:ascii="Times New Roman" w:cs="Times New Roman" w:eastAsia="Times New Roman" w:hAnsi="Times New Roman"/>
          <w:sz w:val="19"/>
          <w:szCs w:val="19"/>
          <w:color w:val="auto"/>
        </w:rPr>
      </w:pPr>
    </w:p>
    <w:p>
      <w:pPr>
        <w:jc w:val="both"/>
        <w:ind w:firstLine="1241"/>
        <w:spacing w:after="0" w:line="216" w:lineRule="auto"/>
        <w:tabs>
          <w:tab w:leader="none" w:pos="184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notwithstanding the intention of the parties expressed in this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the transfer and conveyance by Sellers to Administrative Agent, for the benefit of Participating Purchasers, of Purchased Receivables hereunder shall be characterized by a court of competent jurisdiction as a secured loan and not a sale, then this Agreement shall constitute a security agreement under the UCC and other applicable law. For this purpose, each Seller hereby grants Administrative Agent, for the benefit of itself and Participating Purchasers, a security interest in all of such Seller’s right, title and interest in, to and under the Purchased Receivables, all Collections and all Proceeds thereof, in each case to secure the timely payment and performance by Sellers of all amounts and any other obligations owing to Administrative Agent and Purchasers hereunder. In the event this Agreement shall be characterized as a</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security agreement, Administrative Agent, for the benefit of Participating Purchasers, shall have, in addition to the rights and remedies which it may have under this Agreement, all the rights and remedies provided to a secured creditor under the UCC and applicable law, which rights and remedies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be cumulative.</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8"/>
          <w:szCs w:val="18"/>
          <w:u w:val="single" w:color="auto"/>
          <w:color w:val="auto"/>
        </w:rPr>
        <w:t>Effect of Benchmark Transition Event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1241"/>
        <w:spacing w:after="0" w:line="209" w:lineRule="auto"/>
        <w:tabs>
          <w:tab w:leader="none" w:pos="1847"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Notwithstanding anything to the contrary herein or in any other Transaction Document, upon the occurrence of a Benchmark Transition Event, Administrative Agent may amend this Agreement to replace the then-current Benchmark with a Benchmark Replacement. Any such amendment will become effective at 5:00 p.m. (New York City time)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Business Day after Administrative Agent has Posted such proposed amendment to Sellers. No replacement of a Benchmark with a Benchmark Replacement pursuant to this </w:t>
      </w:r>
      <w:r>
        <w:rPr>
          <w:rFonts w:ascii="Times New Roman" w:cs="Times New Roman" w:eastAsia="Times New Roman" w:hAnsi="Times New Roman"/>
          <w:sz w:val="19"/>
          <w:szCs w:val="19"/>
          <w:u w:val="single" w:color="auto"/>
          <w:color w:val="auto"/>
        </w:rPr>
        <w:t>Section 2.7(a)</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158" w:lineRule="exact"/>
        <w:rPr>
          <w:rFonts w:ascii="Times New Roman" w:cs="Times New Roman" w:eastAsia="Times New Roman" w:hAnsi="Times New Roman"/>
          <w:sz w:val="19"/>
          <w:szCs w:val="19"/>
          <w:color w:val="auto"/>
        </w:rPr>
      </w:pPr>
    </w:p>
    <w:p>
      <w:pPr>
        <w:jc w:val="both"/>
        <w:ind w:firstLine="1241"/>
        <w:spacing w:after="0" w:line="217" w:lineRule="auto"/>
        <w:tabs>
          <w:tab w:leader="none" w:pos="18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use, administration, adoption, or implementation of a Benchmark Replacement,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For the avoidance of doubt, Conforming Changes shall be effective with respect to all Receivables purchased by Administrative Agent hereunder thereafter.</w:t>
      </w:r>
    </w:p>
    <w:p>
      <w:pPr>
        <w:spacing w:after="0" w:line="154"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Administrative Agent will promptly notify Sellers and Purchasers of</w:t>
      </w:r>
    </w:p>
    <w:p>
      <w:pPr>
        <w:jc w:val="both"/>
        <w:ind w:firstLine="3"/>
        <w:spacing w:after="0" w:line="213" w:lineRule="auto"/>
        <w:tabs>
          <w:tab w:leader="none" w:pos="272"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implementation of any Benchmark Replacement and (ii) the effectiveness of any Conforming Changes in connection with the use, administration, adoption, or implementation of a Benchmark Replacement. Any determination, decision or election that may be made by Administrative Agent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including any determination with respect to a tenor, rate, or adjustment or of the occurrence or non-occurrence of an event, circumstance, or date and any decision to take or refrain from taking any action, will be conclusive and binding absent manifest error and may be made in Administrative Agent’ reasonable discretion and without consent from any other party to this Agreement or any other Transaction Document.</w:t>
      </w:r>
    </w:p>
    <w:p>
      <w:pPr>
        <w:spacing w:after="0" w:line="157"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2.8 </w:t>
      </w:r>
      <w:r>
        <w:rPr>
          <w:rFonts w:ascii="Times New Roman" w:cs="Times New Roman" w:eastAsia="Times New Roman" w:hAnsi="Times New Roman"/>
          <w:sz w:val="19"/>
          <w:szCs w:val="19"/>
          <w:u w:val="single" w:color="auto"/>
          <w:color w:val="auto"/>
        </w:rPr>
        <w:t>Term SOFR Conforming Changes</w:t>
      </w:r>
      <w:r>
        <w:rPr>
          <w:rFonts w:ascii="Times New Roman" w:cs="Times New Roman" w:eastAsia="Times New Roman" w:hAnsi="Times New Roman"/>
          <w:sz w:val="19"/>
          <w:szCs w:val="19"/>
          <w:color w:val="auto"/>
        </w:rPr>
        <w:t>. In connection with the use or administration of Term SOFR, Administrative Agent will have the right to make Conforming Changes from time to time and, notwithstanding anything to the contrary herein or in any other Transaction Document,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any amendments implementing such Conforming Changes will become effective without any further action or consent of any other party to this Agreement or any other Transaction Document. Administrative Agent will promptly notify the Sellers and Purchasers of the effectiveness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Conforming Changes in connection with the use or administration of Term SOFR.</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2.9 </w:t>
      </w:r>
      <w:r>
        <w:rPr>
          <w:rFonts w:ascii="Times New Roman" w:cs="Times New Roman" w:eastAsia="Times New Roman" w:hAnsi="Times New Roman"/>
          <w:sz w:val="19"/>
          <w:szCs w:val="19"/>
          <w:u w:val="single" w:color="auto"/>
          <w:color w:val="auto"/>
        </w:rPr>
        <w:t>Joint and Several Obligations</w:t>
      </w:r>
      <w:r>
        <w:rPr>
          <w:rFonts w:ascii="Times New Roman" w:cs="Times New Roman" w:eastAsia="Times New Roman" w:hAnsi="Times New Roman"/>
          <w:sz w:val="19"/>
          <w:szCs w:val="19"/>
          <w:color w:val="auto"/>
        </w:rPr>
        <w:t>. Each Seller shall be jointly and severally liable for the obligations of each other Seller under this Agreement and the other Transaction Documents. Each Seller agrees that its obligations hereunder are irrevocable, absolute, independent, and</w:t>
      </w:r>
    </w:p>
    <w:p>
      <w:pPr>
        <w:spacing w:after="0" w:line="213" w:lineRule="auto"/>
        <w:rPr>
          <w:sz w:val="20"/>
          <w:szCs w:val="20"/>
          <w:color w:val="auto"/>
        </w:rPr>
      </w:pPr>
      <w:r>
        <w:rPr>
          <w:rFonts w:ascii="Times New Roman" w:cs="Times New Roman" w:eastAsia="Times New Roman" w:hAnsi="Times New Roman"/>
          <w:sz w:val="19"/>
          <w:szCs w:val="19"/>
          <w:color w:val="auto"/>
        </w:rPr>
        <w:t>unconditional and shall not be affected by any circumstance which constitutes a legal or equitable discharge of a guarantor or surety other than</w:t>
      </w:r>
    </w:p>
    <w:p>
      <w:pPr>
        <w:spacing w:after="0" w:line="216" w:lineRule="auto"/>
        <w:rPr>
          <w:sz w:val="20"/>
          <w:szCs w:val="20"/>
          <w:color w:val="auto"/>
        </w:rPr>
      </w:pPr>
      <w:r>
        <w:rPr>
          <w:rFonts w:ascii="Times New Roman" w:cs="Times New Roman" w:eastAsia="Times New Roman" w:hAnsi="Times New Roman"/>
          <w:sz w:val="18"/>
          <w:szCs w:val="18"/>
          <w:color w:val="auto"/>
        </w:rPr>
        <w:t>payment in full of all Sellers’ obligations under this Agreement and the other Transaction Documents. This Agreement shall continue to be effective or be reinstated, as the case may be, if at any time any payment of any amount paid hereunder in respect hereof is rescinded or must otherwise be</w:t>
      </w:r>
    </w:p>
    <w:p>
      <w:pPr>
        <w:spacing w:after="0" w:line="213" w:lineRule="auto"/>
        <w:rPr>
          <w:sz w:val="20"/>
          <w:szCs w:val="20"/>
          <w:color w:val="auto"/>
        </w:rPr>
      </w:pPr>
      <w:r>
        <w:rPr>
          <w:rFonts w:ascii="Times New Roman" w:cs="Times New Roman" w:eastAsia="Times New Roman" w:hAnsi="Times New Roman"/>
          <w:sz w:val="19"/>
          <w:szCs w:val="19"/>
          <w:color w:val="auto"/>
        </w:rPr>
        <w:t>returned by Administrative Agent or any Purchaser on the insolvency, bankruptcy, or reorganization of any Seller or otherwise, all as though the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payment had not been made. In order to enforce its rights or remedies against such other Seller, Administrative Agent and Purchasers shall not be required to exhaust any right or remedy or take any action against a Seller or any other person or entity or any collateral. Each Seller agrees that, as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between a Seller, on the one hand, and Administrative Agent and Purchasers on the other hand, such other Seller’s obligations hereunder shall be payable notwithstanding any stay, injunction, or other prohibition which may prevent, delay or vitiate payment by any Seller.</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Repurchase Event; Collateral Security</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u w:val="single" w:color="auto"/>
          <w:color w:val="auto"/>
        </w:rPr>
        <w:t>Repurchase Event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13" w:lineRule="auto"/>
        <w:tabs>
          <w:tab w:leader="none" w:pos="1847"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existence of a Repurchase Event with respect to a Purchased Receivable, Administrative Agent, for the benefit of Participating Purchasers, may, upon notice to the applicable Seller, require such Seller to repurchase from Participating Purchasers such Purchased Receivable. In the event Administrative Agent notifies a Seller of the election of Administrative Agent, for the benefit of Participating Purchasers, to require such Seller to repurchase from Participating Purchasers a Purchased Receivable subject to a Repurchase Event (a “</w:t>
      </w:r>
      <w:r>
        <w:rPr>
          <w:rFonts w:ascii="Times New Roman" w:cs="Times New Roman" w:eastAsia="Times New Roman" w:hAnsi="Times New Roman"/>
          <w:sz w:val="19"/>
          <w:szCs w:val="19"/>
          <w:u w:val="single" w:color="auto"/>
          <w:color w:val="auto"/>
        </w:rPr>
        <w:t>Repurchase Notice</w:t>
      </w:r>
      <w:r>
        <w:rPr>
          <w:rFonts w:ascii="Times New Roman" w:cs="Times New Roman" w:eastAsia="Times New Roman" w:hAnsi="Times New Roman"/>
          <w:sz w:val="19"/>
          <w:szCs w:val="19"/>
          <w:color w:val="auto"/>
        </w:rPr>
        <w:t>”), such Seller shall pay the Repurchase Price for such Purchased Receivable to the Administrative Agent Payment Account, for the Pro Rata Share benefit of Participating Purchasers, in immediately available funds, by no later than the third Business Day immediately following such Repurchase Notice. Upon the payment in full of the Repurchase Price with respect to a Purchased Receivable, such Purchased Receivable shall hereby be, and be deemed to be, repurchased by the applicable Seller from Purchasers without recourse to or warranty by Administrative Agent or Purchasers, and Administrative Agent and Participating Purchasers shall have no further obligation to pay any remaining portion of the Purchase Price for such Receivable.</w:t>
      </w:r>
    </w:p>
    <w:p>
      <w:pPr>
        <w:spacing w:after="0" w:line="162" w:lineRule="exact"/>
        <w:rPr>
          <w:rFonts w:ascii="Times New Roman" w:cs="Times New Roman" w:eastAsia="Times New Roman" w:hAnsi="Times New Roman"/>
          <w:sz w:val="19"/>
          <w:szCs w:val="19"/>
          <w:color w:val="auto"/>
        </w:rPr>
      </w:pPr>
    </w:p>
    <w:p>
      <w:pPr>
        <w:jc w:val="both"/>
        <w:ind w:firstLine="1241"/>
        <w:spacing w:after="0" w:line="217" w:lineRule="auto"/>
        <w:tabs>
          <w:tab w:leader="none" w:pos="1844"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to the extent that a Repurchase Event is caused by a Claim by an Account Debtor to setoff or offset against a Purchased Receivable, any Seller, in its sole discretion, may cure such Repurchase Event caused by such setoff or offset by making a cash payment to Purchaser equal to the amount of such setoff or offset (the “</w:t>
      </w:r>
      <w:r>
        <w:rPr>
          <w:rFonts w:ascii="Times New Roman" w:cs="Times New Roman" w:eastAsia="Times New Roman" w:hAnsi="Times New Roman"/>
          <w:sz w:val="19"/>
          <w:szCs w:val="19"/>
          <w:u w:val="single" w:color="auto"/>
          <w:color w:val="auto"/>
        </w:rPr>
        <w:t>Cure Amount</w:t>
      </w:r>
      <w:r>
        <w:rPr>
          <w:rFonts w:ascii="Times New Roman" w:cs="Times New Roman" w:eastAsia="Times New Roman" w:hAnsi="Times New Roman"/>
          <w:sz w:val="19"/>
          <w:szCs w:val="19"/>
          <w:color w:val="auto"/>
        </w:rPr>
        <w:t xml:space="preserve">”); provided, however, that to the extent that the applicable Account Debtor subsequently makes a payment to Sellers or Administrative Agent in excess of the Net Invoice Amount </w:t>
      </w:r>
      <w:r>
        <w:rPr>
          <w:rFonts w:ascii="Times New Roman" w:cs="Times New Roman" w:eastAsia="Times New Roman" w:hAnsi="Times New Roman"/>
          <w:sz w:val="19"/>
          <w:szCs w:val="19"/>
          <w:i w:val="1"/>
          <w:iCs w:val="1"/>
          <w:color w:val="auto"/>
        </w:rPr>
        <w:t xml:space="preserve">minus </w:t>
      </w:r>
      <w:r>
        <w:rPr>
          <w:rFonts w:ascii="Times New Roman" w:cs="Times New Roman" w:eastAsia="Times New Roman" w:hAnsi="Times New Roman"/>
          <w:sz w:val="19"/>
          <w:szCs w:val="19"/>
          <w:color w:val="auto"/>
        </w:rPr>
        <w:t>the Cure Amount, the Administrative Agent shall promptly remit to Sellers (or if delivered to Sellers, Sellers shall be entitled to retain)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excess, up to the Cure Amount.</w:t>
      </w:r>
    </w:p>
    <w:p>
      <w:pPr>
        <w:spacing w:after="0" w:line="156"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Collateral Security</w:t>
      </w:r>
      <w:r>
        <w:rPr>
          <w:rFonts w:ascii="Times New Roman" w:cs="Times New Roman" w:eastAsia="Times New Roman" w:hAnsi="Times New Roman"/>
          <w:sz w:val="19"/>
          <w:szCs w:val="19"/>
          <w:color w:val="auto"/>
        </w:rPr>
        <w:t>. As collateral security for each Seller’s existing and future payment obligations hereunder, obligations to repurchase and pay the Repurchase Price for Purchased Receivables subject to a Repurchase Event, each Seller hereby grants to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 for the benefit of Participating Purchasers, a Lien on and against all of the Purchased Receivables and Related Assets.</w:t>
      </w:r>
    </w:p>
    <w:p>
      <w:pPr>
        <w:spacing w:after="0" w:line="15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Each Seller hereby represents and warrants to Administrative Agent and Purchasers as of the date hereof and each Purchase Date:</w:t>
      </w:r>
    </w:p>
    <w:p>
      <w:pPr>
        <w:spacing w:after="0" w:line="207"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Organization and Good Standing</w:t>
      </w:r>
      <w:r>
        <w:rPr>
          <w:rFonts w:ascii="Times New Roman" w:cs="Times New Roman" w:eastAsia="Times New Roman" w:hAnsi="Times New Roman"/>
          <w:sz w:val="19"/>
          <w:szCs w:val="19"/>
          <w:color w:val="auto"/>
        </w:rPr>
        <w:t>. It is duly organized and validly existing and in good standing under the laws of its state of incorporation or organization, as applicable, with power and authority to own its properties and to conduct its business as such properties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currently owned and such business is presently conducted.</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Due Qualification</w:t>
      </w:r>
      <w:r>
        <w:rPr>
          <w:rFonts w:ascii="Times New Roman" w:cs="Times New Roman" w:eastAsia="Times New Roman" w:hAnsi="Times New Roman"/>
          <w:sz w:val="19"/>
          <w:szCs w:val="19"/>
          <w:color w:val="auto"/>
        </w:rPr>
        <w:t>. It is duly licensed or qualified to do business and it has obtained all necessary approvals, in all jurisdictions in which the ownership or lease of its property or the conduct of its business requires such licensing, qualification, or approvals, except to the extent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failure to obtain such license, qualifications or approvals would not reasonably be expected to cause a Material Adverse Effect.</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Power and Authority; Due Authorization</w:t>
      </w:r>
      <w:r>
        <w:rPr>
          <w:rFonts w:ascii="Times New Roman" w:cs="Times New Roman" w:eastAsia="Times New Roman" w:hAnsi="Times New Roman"/>
          <w:sz w:val="19"/>
          <w:szCs w:val="19"/>
          <w:color w:val="auto"/>
        </w:rPr>
        <w:t>. It has (a) all necessary power, authority, and legal right (i) to execute and deliver, and perform its obligations under, each Transaction Document to which it is a party, and (ii) to own, sell, transfer, and assign Receivables on the terms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and subject to the conditions herein and therein provided; (b) duly authorized the execution and delivery of the Transaction Documents to which it is a party, the sale and transfer of Receivables hereunder, the Postings by Seller</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hereunder, and the performance of obligations of Seller under the Transaction Documents; and (c) has duly executed and delivered this Agreement.</w:t>
      </w:r>
    </w:p>
    <w:p>
      <w:pPr>
        <w:spacing w:after="0" w:line="168"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Valid Sale; Binding Obligations</w:t>
      </w:r>
      <w:r>
        <w:rPr>
          <w:rFonts w:ascii="Times New Roman" w:cs="Times New Roman" w:eastAsia="Times New Roman" w:hAnsi="Times New Roman"/>
          <w:sz w:val="19"/>
          <w:szCs w:val="19"/>
          <w:color w:val="auto"/>
        </w:rPr>
        <w:t>. This Agreement constitutes, and each other Transaction Document to be signed by Sellers, when duly executed and delivered, will constitute, a legal, valid, and binding obligation of Sellers, enforceable in accordance with its terms, except as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enforceability may be limited by bankruptcy, insolvency, reorganization, moratorium or other similar laws affecting the enforcement of creditors’ rights generally or by general principles of equity (whether enforcement is sought by proceedings in equity or at law). Each transfer of Receivables</w:t>
      </w:r>
    </w:p>
    <w:p>
      <w:pPr>
        <w:spacing w:after="0" w:line="213" w:lineRule="auto"/>
        <w:rPr>
          <w:sz w:val="20"/>
          <w:szCs w:val="20"/>
          <w:color w:val="auto"/>
        </w:rPr>
      </w:pPr>
      <w:r>
        <w:rPr>
          <w:rFonts w:ascii="Times New Roman" w:cs="Times New Roman" w:eastAsia="Times New Roman" w:hAnsi="Times New Roman"/>
          <w:sz w:val="19"/>
          <w:szCs w:val="19"/>
          <w:color w:val="auto"/>
        </w:rPr>
        <w:t>by Sellers to Administrative Agent, for the benefit of Participating Purchasers, pursuant to this Agreement shall constitute a valid sale, transfer, and</w:t>
      </w:r>
    </w:p>
    <w:p>
      <w:pPr>
        <w:spacing w:after="0" w:line="216" w:lineRule="auto"/>
        <w:rPr>
          <w:sz w:val="20"/>
          <w:szCs w:val="20"/>
          <w:color w:val="auto"/>
        </w:rPr>
      </w:pPr>
      <w:r>
        <w:rPr>
          <w:rFonts w:ascii="Times New Roman" w:cs="Times New Roman" w:eastAsia="Times New Roman" w:hAnsi="Times New Roman"/>
          <w:sz w:val="18"/>
          <w:szCs w:val="18"/>
          <w:color w:val="auto"/>
        </w:rPr>
        <w:t>assignment thereof to Administrative Agent for the benefit of Participating Purchasers, enforceable against creditors of, and purchasers from, Sellers, except as enforceability may be limited by applicable bankruptcy, insolvency, reorganization, moratorium or other similar laws affecting the</w:t>
      </w:r>
    </w:p>
    <w:p>
      <w:pPr>
        <w:spacing w:after="0" w:line="213" w:lineRule="auto"/>
        <w:rPr>
          <w:sz w:val="20"/>
          <w:szCs w:val="20"/>
          <w:color w:val="auto"/>
        </w:rPr>
      </w:pPr>
      <w:r>
        <w:rPr>
          <w:rFonts w:ascii="Times New Roman" w:cs="Times New Roman" w:eastAsia="Times New Roman" w:hAnsi="Times New Roman"/>
          <w:sz w:val="19"/>
          <w:szCs w:val="19"/>
          <w:color w:val="auto"/>
        </w:rPr>
        <w:t>enforcement of creditors’ rights generally and by general equitable principles (whether enforcement is sought by proceedings in equity or at law).</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Each applicable Seller represents to Administrative Agent and Purchasers that the Purchase Price for each Purchased Receivable is the fair value of such Purchased Receivable plus the fair value of its servicing by such Seller.</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4.5</w:t>
      </w:r>
      <w:r>
        <w:rPr>
          <w:sz w:val="20"/>
          <w:szCs w:val="20"/>
          <w:color w:val="auto"/>
        </w:rPr>
        <w:tab/>
      </w:r>
      <w:r>
        <w:rPr>
          <w:rFonts w:ascii="Times New Roman" w:cs="Times New Roman" w:eastAsia="Times New Roman" w:hAnsi="Times New Roman"/>
          <w:sz w:val="19"/>
          <w:szCs w:val="19"/>
          <w:u w:val="single" w:color="auto"/>
          <w:color w:val="auto"/>
        </w:rPr>
        <w:t>No Violation</w:t>
      </w:r>
      <w:r>
        <w:rPr>
          <w:rFonts w:ascii="Times New Roman" w:cs="Times New Roman" w:eastAsia="Times New Roman" w:hAnsi="Times New Roman"/>
          <w:sz w:val="19"/>
          <w:szCs w:val="19"/>
          <w:color w:val="auto"/>
        </w:rPr>
        <w:t>. This Agreement, and the consummation of the transactions contemplated by the Transaction Documents to which a</w:t>
      </w:r>
    </w:p>
    <w:p>
      <w:pPr>
        <w:spacing w:after="0" w:line="205" w:lineRule="auto"/>
        <w:rPr>
          <w:sz w:val="20"/>
          <w:szCs w:val="20"/>
          <w:color w:val="auto"/>
        </w:rPr>
      </w:pPr>
      <w:r>
        <w:rPr>
          <w:rFonts w:ascii="Times New Roman" w:cs="Times New Roman" w:eastAsia="Times New Roman" w:hAnsi="Times New Roman"/>
          <w:sz w:val="19"/>
          <w:szCs w:val="19"/>
          <w:color w:val="auto"/>
        </w:rPr>
        <w:t>Seller is a party, and the fulfillment of the terms thereof will not (a) conflict with, result in any breach of any of the terms and provisions of, or constitute (with or without notice or lapse of time or both) a default under (i) such Seller’s articles or certificate of incorporation or certificate of</w:t>
      </w:r>
    </w:p>
    <w:p>
      <w:pPr>
        <w:spacing w:after="0" w:line="213" w:lineRule="auto"/>
        <w:rPr>
          <w:sz w:val="20"/>
          <w:szCs w:val="20"/>
          <w:color w:val="auto"/>
        </w:rPr>
      </w:pPr>
      <w:r>
        <w:rPr>
          <w:rFonts w:ascii="Times New Roman" w:cs="Times New Roman" w:eastAsia="Times New Roman" w:hAnsi="Times New Roman"/>
          <w:sz w:val="19"/>
          <w:szCs w:val="19"/>
          <w:color w:val="auto"/>
        </w:rPr>
        <w:t>formation or by-laws or operating agreement, as applicable (ii) except as would not, either individually or in the aggregate, reasonably be expected</w:t>
      </w:r>
    </w:p>
    <w:p>
      <w:pPr>
        <w:spacing w:after="0" w:line="205" w:lineRule="auto"/>
        <w:rPr>
          <w:sz w:val="20"/>
          <w:szCs w:val="20"/>
          <w:color w:val="auto"/>
        </w:rPr>
      </w:pPr>
      <w:r>
        <w:rPr>
          <w:rFonts w:ascii="Times New Roman" w:cs="Times New Roman" w:eastAsia="Times New Roman" w:hAnsi="Times New Roman"/>
          <w:sz w:val="19"/>
          <w:szCs w:val="19"/>
          <w:color w:val="auto"/>
        </w:rPr>
        <w:t>to result in a Material Adverse Effect any indenture, loan agreement, mortgage, deed of trust, or other material agreement or instrument to which it is a party or by which it is bound, (b) result in the creation or imposition of, or give rise to any obligation to provide, any Lien (other than a Lien of</w:t>
      </w:r>
    </w:p>
    <w:p>
      <w:pPr>
        <w:spacing w:after="0" w:line="213" w:lineRule="auto"/>
        <w:rPr>
          <w:sz w:val="20"/>
          <w:szCs w:val="20"/>
          <w:color w:val="auto"/>
        </w:rPr>
      </w:pPr>
      <w:r>
        <w:rPr>
          <w:rFonts w:ascii="Times New Roman" w:cs="Times New Roman" w:eastAsia="Times New Roman" w:hAnsi="Times New Roman"/>
          <w:sz w:val="19"/>
          <w:szCs w:val="19"/>
          <w:color w:val="auto"/>
        </w:rPr>
        <w:t>Administrative Agent for the benefit of Participating Purchasers created hereunder) upon any of its properties pursuant to the terms of any such</w:t>
      </w:r>
    </w:p>
    <w:p>
      <w:pPr>
        <w:spacing w:after="0" w:line="216" w:lineRule="auto"/>
        <w:rPr>
          <w:sz w:val="20"/>
          <w:szCs w:val="20"/>
          <w:color w:val="auto"/>
        </w:rPr>
      </w:pPr>
      <w:r>
        <w:rPr>
          <w:rFonts w:ascii="Times New Roman" w:cs="Times New Roman" w:eastAsia="Times New Roman" w:hAnsi="Times New Roman"/>
          <w:sz w:val="18"/>
          <w:szCs w:val="18"/>
          <w:color w:val="auto"/>
        </w:rPr>
        <w:t>indenture, loan agreement, mortgage, deed of trust, or other material agreement or instrument, or (c) violate any law or any order, rule, or regulation applicable to it of any court or of any federal, state, or foreign regulatory body, administrative agency, or other governmental authority having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jurisdiction over it or any of its properties.</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Proceedings</w:t>
      </w:r>
      <w:r>
        <w:rPr>
          <w:rFonts w:ascii="Times New Roman" w:cs="Times New Roman" w:eastAsia="Times New Roman" w:hAnsi="Times New Roman"/>
          <w:sz w:val="19"/>
          <w:szCs w:val="19"/>
          <w:color w:val="auto"/>
        </w:rPr>
        <w:t>. There is no action, suit, or proceeding pending, or to such Seller’s knowledge, threatened in writing, before any court, regulatory body, arbitrator, administrative agency, or other tribunal or governmental instrumentality (a) asserting the invalidity of any Transaction</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Document to which such Seller is a party, or (b) seeking to prevent the sale of Receivables to Administrative Agent for the benefit of the Purchasers or the consummation of any of the other transactions contemplated by any Transaction Document to which such Seller is a party.</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4.7</w:t>
      </w:r>
      <w:r>
        <w:rPr>
          <w:sz w:val="20"/>
          <w:szCs w:val="20"/>
          <w:color w:val="auto"/>
        </w:rPr>
        <w:tab/>
      </w:r>
      <w:r>
        <w:rPr>
          <w:rFonts w:ascii="Times New Roman" w:cs="Times New Roman" w:eastAsia="Times New Roman" w:hAnsi="Times New Roman"/>
          <w:sz w:val="19"/>
          <w:szCs w:val="19"/>
          <w:u w:val="single" w:color="auto"/>
          <w:color w:val="auto"/>
        </w:rPr>
        <w:t>Government Approvals</w:t>
      </w:r>
      <w:r>
        <w:rPr>
          <w:rFonts w:ascii="Times New Roman" w:cs="Times New Roman" w:eastAsia="Times New Roman" w:hAnsi="Times New Roman"/>
          <w:sz w:val="19"/>
          <w:szCs w:val="19"/>
          <w:color w:val="auto"/>
        </w:rPr>
        <w:t>. Except for the filing of the UCC financing statements, no authorization or approval or other action by, and</w:t>
      </w:r>
    </w:p>
    <w:p>
      <w:pPr>
        <w:spacing w:after="0" w:line="222" w:lineRule="auto"/>
        <w:rPr>
          <w:sz w:val="20"/>
          <w:szCs w:val="20"/>
          <w:color w:val="auto"/>
        </w:rPr>
      </w:pPr>
      <w:r>
        <w:rPr>
          <w:rFonts w:ascii="Times New Roman" w:cs="Times New Roman" w:eastAsia="Times New Roman" w:hAnsi="Times New Roman"/>
          <w:sz w:val="19"/>
          <w:szCs w:val="19"/>
          <w:color w:val="auto"/>
        </w:rPr>
        <w:t>no notice to or filing with, any governmental authority is required for such Seller’s due execution, delivery, and performance of any Transaction Document to which it is a party.</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4.8</w:t>
      </w:r>
      <w:r>
        <w:rPr>
          <w:sz w:val="20"/>
          <w:szCs w:val="20"/>
          <w:color w:val="auto"/>
        </w:rPr>
        <w:tab/>
      </w:r>
      <w:r>
        <w:rPr>
          <w:rFonts w:ascii="Times New Roman" w:cs="Times New Roman" w:eastAsia="Times New Roman" w:hAnsi="Times New Roman"/>
          <w:sz w:val="19"/>
          <w:szCs w:val="19"/>
          <w:u w:val="single" w:color="auto"/>
          <w:color w:val="auto"/>
        </w:rPr>
        <w:t>Financial Condition; Material Adverse Change</w:t>
      </w:r>
      <w:r>
        <w:rPr>
          <w:rFonts w:ascii="Times New Roman" w:cs="Times New Roman" w:eastAsia="Times New Roman" w:hAnsi="Times New Roman"/>
          <w:sz w:val="19"/>
          <w:szCs w:val="19"/>
          <w:color w:val="auto"/>
        </w:rPr>
        <w:t>. On the date hereof, each Seller is, and on the date of each transfer of a Receivable</w:t>
      </w:r>
    </w:p>
    <w:p>
      <w:pPr>
        <w:spacing w:after="0" w:line="222" w:lineRule="auto"/>
        <w:rPr>
          <w:sz w:val="20"/>
          <w:szCs w:val="20"/>
          <w:color w:val="auto"/>
        </w:rPr>
      </w:pPr>
      <w:r>
        <w:rPr>
          <w:rFonts w:ascii="Times New Roman" w:cs="Times New Roman" w:eastAsia="Times New Roman" w:hAnsi="Times New Roman"/>
          <w:sz w:val="19"/>
          <w:szCs w:val="19"/>
          <w:color w:val="auto"/>
        </w:rPr>
        <w:t>hereunder (both before and after giving effect to such transfer) shall be, Solvent. There has been no Material Adverse Change since December 31, 2024.</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4.9</w:t>
      </w:r>
      <w:r>
        <w:rPr>
          <w:sz w:val="20"/>
          <w:szCs w:val="20"/>
          <w:color w:val="auto"/>
        </w:rPr>
        <w:tab/>
      </w:r>
      <w:r>
        <w:rPr>
          <w:rFonts w:ascii="Times New Roman" w:cs="Times New Roman" w:eastAsia="Times New Roman" w:hAnsi="Times New Roman"/>
          <w:sz w:val="19"/>
          <w:szCs w:val="19"/>
          <w:u w:val="single" w:color="auto"/>
          <w:color w:val="auto"/>
        </w:rPr>
        <w:t>Offices</w:t>
      </w:r>
      <w:r>
        <w:rPr>
          <w:rFonts w:ascii="Times New Roman" w:cs="Times New Roman" w:eastAsia="Times New Roman" w:hAnsi="Times New Roman"/>
          <w:sz w:val="19"/>
          <w:szCs w:val="19"/>
          <w:color w:val="auto"/>
        </w:rPr>
        <w:t>. On the date hereof, the offices where each Seller keeps all of its books, records. and documents evidencing the</w:t>
      </w:r>
    </w:p>
    <w:p>
      <w:pPr>
        <w:spacing w:after="0" w:line="222" w:lineRule="auto"/>
        <w:rPr>
          <w:sz w:val="20"/>
          <w:szCs w:val="20"/>
          <w:color w:val="auto"/>
        </w:rPr>
      </w:pPr>
      <w:r>
        <w:rPr>
          <w:rFonts w:ascii="Times New Roman" w:cs="Times New Roman" w:eastAsia="Times New Roman" w:hAnsi="Times New Roman"/>
          <w:sz w:val="19"/>
          <w:szCs w:val="19"/>
          <w:color w:val="auto"/>
        </w:rPr>
        <w:t>Receivables, the related Contracts and all other material agreements related to such Receivables (including the Records) are located at the address specified on the signature pages to this Agreement or at such other locations identified by such Seller to Administrative Agent after the date hereof.</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Accuracy of Information</w:t>
      </w:r>
      <w:r>
        <w:rPr>
          <w:rFonts w:ascii="Times New Roman" w:cs="Times New Roman" w:eastAsia="Times New Roman" w:hAnsi="Times New Roman"/>
          <w:sz w:val="19"/>
          <w:szCs w:val="19"/>
          <w:color w:val="auto"/>
        </w:rPr>
        <w:t>. No information at any time furnished in writing (including in electronic form) by any Seller to Administrative Agent or Purchasers for purposes of or in connection with any Transaction Document or any transaction contemplated hereby or</w:t>
      </w:r>
    </w:p>
    <w:p>
      <w:pPr>
        <w:spacing w:after="0" w:line="213" w:lineRule="auto"/>
        <w:rPr>
          <w:sz w:val="20"/>
          <w:szCs w:val="20"/>
          <w:color w:val="auto"/>
        </w:rPr>
      </w:pPr>
      <w:r>
        <w:rPr>
          <w:rFonts w:ascii="Times New Roman" w:cs="Times New Roman" w:eastAsia="Times New Roman" w:hAnsi="Times New Roman"/>
          <w:sz w:val="19"/>
          <w:szCs w:val="19"/>
          <w:color w:val="auto"/>
        </w:rPr>
        <w:t>thereby, including, without limitation, with respect to any Purchased Receivable, (i) is, or will be, inaccurate in any material respect as of the date it</w:t>
      </w:r>
    </w:p>
    <w:p>
      <w:pPr>
        <w:spacing w:after="0" w:line="205" w:lineRule="auto"/>
        <w:rPr>
          <w:sz w:val="20"/>
          <w:szCs w:val="20"/>
          <w:color w:val="auto"/>
        </w:rPr>
      </w:pPr>
      <w:r>
        <w:rPr>
          <w:rFonts w:ascii="Times New Roman" w:cs="Times New Roman" w:eastAsia="Times New Roman" w:hAnsi="Times New Roman"/>
          <w:sz w:val="19"/>
          <w:szCs w:val="19"/>
          <w:color w:val="auto"/>
        </w:rPr>
        <w:t>was furnished or (except as otherwise disclosed to Administrative Agent in writing at or prior to such time) as of the date as of which such information is dated or certified, or (ii) contains or will contain any material misstatement of fact or omits or will omit to state any material fact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necessary to make such information not materially misleading.</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Each Seller (i) is not a Sanctioned Target, (ii) is not owned or controlled by, or is or has not acting or purporting to act for or on behalf of, directly or indirectly, a Sanctioned Target, (iii) has instituted, maintains, and complies with policies, procedures, and controls</w:t>
      </w:r>
    </w:p>
    <w:p>
      <w:pPr>
        <w:spacing w:after="0" w:line="213" w:lineRule="auto"/>
        <w:rPr>
          <w:sz w:val="20"/>
          <w:szCs w:val="20"/>
          <w:color w:val="auto"/>
        </w:rPr>
      </w:pPr>
      <w:r>
        <w:rPr>
          <w:rFonts w:ascii="Times New Roman" w:cs="Times New Roman" w:eastAsia="Times New Roman" w:hAnsi="Times New Roman"/>
          <w:sz w:val="19"/>
          <w:szCs w:val="19"/>
          <w:color w:val="auto"/>
        </w:rPr>
        <w:t>reasonably designed to assure compliance with Sanctions, (iv) is in compliance with all Sanctions, and (v) to the best of each Seller’s knowledge,</w:t>
      </w:r>
    </w:p>
    <w:p>
      <w:pPr>
        <w:spacing w:after="0" w:line="205" w:lineRule="auto"/>
        <w:rPr>
          <w:sz w:val="20"/>
          <w:szCs w:val="20"/>
          <w:color w:val="auto"/>
        </w:rPr>
      </w:pPr>
      <w:r>
        <w:rPr>
          <w:rFonts w:ascii="Times New Roman" w:cs="Times New Roman" w:eastAsia="Times New Roman" w:hAnsi="Times New Roman"/>
          <w:sz w:val="19"/>
          <w:szCs w:val="19"/>
          <w:color w:val="auto"/>
        </w:rPr>
        <w:t>after due care and inquiry, is not under investigation for an alleged violation of Sanction(s) by a governmental authority that enforces Sanctions; provided that Sellers will notify Administrative Agent in writing not more than three (3) Business Days after becoming aware of any breach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4.11.</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Anti-Money Laundering; Anti-Corruption</w:t>
      </w:r>
      <w:r>
        <w:rPr>
          <w:rFonts w:ascii="Times New Roman" w:cs="Times New Roman" w:eastAsia="Times New Roman" w:hAnsi="Times New Roman"/>
          <w:sz w:val="19"/>
          <w:szCs w:val="19"/>
          <w:color w:val="auto"/>
        </w:rPr>
        <w:t>. Each Seller (a) has instituted, maintains, and is complying with policies, procedures, and controls reasonably designed to assure compliance with all Anti-Corruption Laws and Anti-Money Laundering Laws, (b) is in compliance with all</w:t>
      </w:r>
    </w:p>
    <w:p>
      <w:pPr>
        <w:spacing w:after="0" w:line="213" w:lineRule="auto"/>
        <w:rPr>
          <w:sz w:val="20"/>
          <w:szCs w:val="20"/>
          <w:color w:val="auto"/>
        </w:rPr>
      </w:pPr>
      <w:r>
        <w:rPr>
          <w:rFonts w:ascii="Times New Roman" w:cs="Times New Roman" w:eastAsia="Times New Roman" w:hAnsi="Times New Roman"/>
          <w:sz w:val="19"/>
          <w:szCs w:val="19"/>
          <w:color w:val="auto"/>
        </w:rPr>
        <w:t>Anti-Corruption Laws and Anti-Money Laundering Laws, and (c) to the best of each Seller’s knowledge, after due care and inquiry, is not under</w:t>
      </w:r>
    </w:p>
    <w:p>
      <w:pPr>
        <w:spacing w:after="0" w:line="222" w:lineRule="auto"/>
        <w:rPr>
          <w:sz w:val="20"/>
          <w:szCs w:val="20"/>
          <w:color w:val="auto"/>
        </w:rPr>
      </w:pPr>
      <w:r>
        <w:rPr>
          <w:rFonts w:ascii="Times New Roman" w:cs="Times New Roman" w:eastAsia="Times New Roman" w:hAnsi="Times New Roman"/>
          <w:sz w:val="19"/>
          <w:szCs w:val="19"/>
          <w:color w:val="auto"/>
        </w:rPr>
        <w:t>investigation for any violation of Anti-Corruption Laws or Anti-Money Laundering Laws by a federal, state, or local governmental authority that enforces such laws.</w:t>
      </w:r>
    </w:p>
    <w:p>
      <w:pPr>
        <w:spacing w:after="0" w:line="156"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Investment Company</w:t>
      </w:r>
      <w:r>
        <w:rPr>
          <w:rFonts w:ascii="Times New Roman" w:cs="Times New Roman" w:eastAsia="Times New Roman" w:hAnsi="Times New Roman"/>
          <w:sz w:val="19"/>
          <w:szCs w:val="19"/>
          <w:color w:val="auto"/>
        </w:rPr>
        <w:t>. No Seller is an “investment company” as defined in, and subject to registration under, the Investment Company Act of 1940.</w:t>
      </w:r>
    </w:p>
    <w:p>
      <w:pPr>
        <w:spacing w:after="0" w:line="143"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Termination Event</w:t>
      </w:r>
      <w:r>
        <w:rPr>
          <w:rFonts w:ascii="Times New Roman" w:cs="Times New Roman" w:eastAsia="Times New Roman" w:hAnsi="Times New Roman"/>
          <w:sz w:val="19"/>
          <w:szCs w:val="19"/>
          <w:color w:val="auto"/>
        </w:rPr>
        <w:t>. No event has occurred and is continuing and no condition exists, or would result from any sale or assignment of any Purchased Receivable, that constitutes or would reasonably be expected to constitute, individually or in the aggregate, a Termination Event.</w:t>
      </w:r>
    </w:p>
    <w:p>
      <w:pPr>
        <w:spacing w:after="0" w:line="1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22" w:lineRule="auto"/>
        <w:tabs>
          <w:tab w:leader="none" w:pos="1847"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Laws, Etc</w:t>
      </w:r>
      <w:r>
        <w:rPr>
          <w:rFonts w:ascii="Times New Roman" w:cs="Times New Roman" w:eastAsia="Times New Roman" w:hAnsi="Times New Roman"/>
          <w:sz w:val="19"/>
          <w:szCs w:val="19"/>
          <w:color w:val="auto"/>
        </w:rPr>
        <w:t xml:space="preserve">. Each Seller will comply in all material respects with all laws, rules, regulations, licenses, approvals, orders, and other permits applicable to it and duly observe in all material respects all requirements of any foreign, federal, state, or local governmental authority with jurisdiction over such Seller;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inconsistency between this Section 5.1(a) and Sections 4.11 and 4.12, Sections 4.11 and 4.12 shall control with respect to Anti-Corruption Laws, Anti-Money Laundering Laws and Sanctions.</w:t>
      </w:r>
    </w:p>
    <w:p>
      <w:pPr>
        <w:spacing w:after="0" w:line="145" w:lineRule="exact"/>
        <w:rPr>
          <w:rFonts w:ascii="Times New Roman" w:cs="Times New Roman" w:eastAsia="Times New Roman" w:hAnsi="Times New Roman"/>
          <w:sz w:val="19"/>
          <w:szCs w:val="19"/>
          <w:color w:val="auto"/>
        </w:rPr>
      </w:pPr>
    </w:p>
    <w:p>
      <w:pPr>
        <w:jc w:val="both"/>
        <w:ind w:firstLine="1241"/>
        <w:spacing w:after="0" w:line="231" w:lineRule="auto"/>
        <w:tabs>
          <w:tab w:leader="none" w:pos="1844"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Preservation of Corporate Existence</w:t>
      </w:r>
      <w:r>
        <w:rPr>
          <w:rFonts w:ascii="Times New Roman" w:cs="Times New Roman" w:eastAsia="Times New Roman" w:hAnsi="Times New Roman"/>
          <w:sz w:val="19"/>
          <w:szCs w:val="19"/>
          <w:color w:val="auto"/>
        </w:rPr>
        <w:t>. Each Seller will preserve, renew, and keep in full force and effect its corporate, partnership, or limited liability company existence and rights and franchises and maintain in full force and effect all licenses, trademarks, tradenames, approvals, authorizations, leases, contracts, and permits necessary to carry on its business as currently, or proposed to be, conducted.</w:t>
      </w:r>
    </w:p>
    <w:p>
      <w:pPr>
        <w:spacing w:after="0" w:line="142" w:lineRule="exact"/>
        <w:rPr>
          <w:rFonts w:ascii="Times New Roman" w:cs="Times New Roman" w:eastAsia="Times New Roman" w:hAnsi="Times New Roman"/>
          <w:sz w:val="19"/>
          <w:szCs w:val="19"/>
          <w:color w:val="auto"/>
        </w:rPr>
      </w:pPr>
    </w:p>
    <w:p>
      <w:pPr>
        <w:jc w:val="both"/>
        <w:ind w:firstLine="1241"/>
        <w:spacing w:after="0" w:line="220" w:lineRule="auto"/>
        <w:tabs>
          <w:tab w:leader="none" w:pos="1847"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Keeping of Records and Books of Account</w:t>
      </w:r>
      <w:r>
        <w:rPr>
          <w:rFonts w:ascii="Times New Roman" w:cs="Times New Roman" w:eastAsia="Times New Roman" w:hAnsi="Times New Roman"/>
          <w:sz w:val="19"/>
          <w:szCs w:val="19"/>
          <w:color w:val="auto"/>
        </w:rPr>
        <w:t>. Each Seller will maintain accurate and complete books, records, accounts, and other information relating to the Receivables, including the Records and other Related Assets at the address set forth in Section 10.2 of this Agreement, or at such other locations identified by Sellers to Administrative Agent, and in conformity with GAAP and which, in the reasonable determination of Administrative Agent, are necessary or advisable in order to determine amounts owing and amounts paid in respect of Receivables and the status of the goods or services</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9"/>
          <w:szCs w:val="19"/>
          <w:color w:val="auto"/>
        </w:rPr>
        <w:t>purchased which give rise to such Receivables. Each Seller will mark its Records (whether electronic or otherwise) which relate to the Receivables and related Contracts with an indication evidencing that the Purchased Receivables have been sold by such Seller to Administrative Agent for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benefit of Participating Purchasers and consistent with all Postings. In the event that any such electronic records are printed and distributed or shown to any person other than Sellers or Administrative Agent, such indication shall be included with such printed records.</w:t>
      </w:r>
    </w:p>
    <w:p>
      <w:pPr>
        <w:spacing w:after="0" w:line="143" w:lineRule="exact"/>
        <w:rPr>
          <w:sz w:val="20"/>
          <w:szCs w:val="20"/>
          <w:color w:val="auto"/>
        </w:rPr>
      </w:pPr>
    </w:p>
    <w:p>
      <w:pPr>
        <w:jc w:val="both"/>
        <w:ind w:firstLine="1241"/>
        <w:spacing w:after="0" w:line="222" w:lineRule="auto"/>
        <w:tabs>
          <w:tab w:leader="none" w:pos="1844"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Accounting for Purchases</w:t>
      </w:r>
      <w:r>
        <w:rPr>
          <w:rFonts w:ascii="Times New Roman" w:cs="Times New Roman" w:eastAsia="Times New Roman" w:hAnsi="Times New Roman"/>
          <w:sz w:val="19"/>
          <w:szCs w:val="19"/>
          <w:color w:val="auto"/>
        </w:rPr>
        <w:t>. Sellers’ financial statements shall account for the transactions contemplated in this Agreement as a sale of the Purchased Receivables by Sellers to Administrative Agent for the benefit of Participating Purchasers, and shall account for and treat the transactions contemplated hereunder (including accounting and tax reporting) as a sale of the Purchased Receivables by Sellers to Administrative Agent for the benefit of Participating Purchasers.</w:t>
      </w:r>
    </w:p>
    <w:p>
      <w:pPr>
        <w:spacing w:after="0" w:line="158" w:lineRule="exact"/>
        <w:rPr>
          <w:rFonts w:ascii="Times New Roman" w:cs="Times New Roman" w:eastAsia="Times New Roman" w:hAnsi="Times New Roman"/>
          <w:sz w:val="19"/>
          <w:szCs w:val="19"/>
          <w:color w:val="auto"/>
        </w:rPr>
      </w:pPr>
    </w:p>
    <w:p>
      <w:pPr>
        <w:jc w:val="both"/>
        <w:ind w:firstLine="1241"/>
        <w:spacing w:after="0" w:line="220" w:lineRule="auto"/>
        <w:tabs>
          <w:tab w:leader="none" w:pos="1847"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Interest of the Company</w:t>
      </w:r>
      <w:r>
        <w:rPr>
          <w:rFonts w:ascii="Times New Roman" w:cs="Times New Roman" w:eastAsia="Times New Roman" w:hAnsi="Times New Roman"/>
          <w:sz w:val="19"/>
          <w:szCs w:val="19"/>
          <w:color w:val="auto"/>
        </w:rPr>
        <w:t>. Sellers will take all action necessary in order for the Administrative Agent, for the benefit of Participating Purchasers, to establish and maintain a valid and perfected first priority ownership interest in all Purchased Receivables, free and clear of any Lien (other than a Lien in favor of Administrative Agent and inchoate tax liens), including the filing of all financing statements under the UCC or other similar instruments or documents necessary in appropriate jurisdictions (or any comparable law) to perfect Administrative Agent’s ownership interest, for the benefit of Participating Purchasers, in the Purchased Receivables.</w:t>
      </w:r>
    </w:p>
    <w:p>
      <w:pPr>
        <w:spacing w:after="0" w:line="146" w:lineRule="exact"/>
        <w:rPr>
          <w:rFonts w:ascii="Times New Roman" w:cs="Times New Roman" w:eastAsia="Times New Roman" w:hAnsi="Times New Roman"/>
          <w:sz w:val="19"/>
          <w:szCs w:val="19"/>
          <w:color w:val="auto"/>
        </w:rPr>
      </w:pPr>
    </w:p>
    <w:p>
      <w:pPr>
        <w:jc w:val="both"/>
        <w:ind w:firstLine="1241"/>
        <w:spacing w:after="0" w:line="212" w:lineRule="auto"/>
        <w:tabs>
          <w:tab w:leader="none" w:pos="1852"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Receivables Review</w:t>
      </w:r>
      <w:r>
        <w:rPr>
          <w:rFonts w:ascii="Times New Roman" w:cs="Times New Roman" w:eastAsia="Times New Roman" w:hAnsi="Times New Roman"/>
          <w:sz w:val="19"/>
          <w:szCs w:val="19"/>
          <w:color w:val="auto"/>
        </w:rPr>
        <w:t xml:space="preserve">. Sellers will from time to time as reasonably requested by Administrative Agent, at reasonable times and upon reasonable prior notice, permit Administrative Agent or its designee, at Sellers’ expense, (i) to have access to each Seller’s premises during normal business hours and (ii) make available copies of each Seller’s books and records electronically to Administrative Agent, in each case, for the purposes of inspecting, verifying, and auditing each Seller’s books and records with respect to the Receivables (including the Records and other Related Assets) and discussing matters relating to the Receivables or each Seller’s financial condition or performance under any Transaction Document or performance by any Seller under any related Contract, in each case, with any of the officers or employees of any Seller having knowledge of such matters and to take copies of any of the Records directly relating to transactions subject to this Agreement and to review such originals thereof as Administrative Agent may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absent the occurrence and continuation of a Termination Event, Sellers shall not be responsible to reimburse Administrative Agent for more than one (1) such inspection or receivables review (excluding from such cap any such inspections or receivables reviews conducted prior to the Closing Date) in any consecutive twelve (12) month period;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in the event of the occurrence and continuation of a Termination Event, Sellers shall be responsible to reimburse Administrative Agent for one (1) additional inspection or receivables review during such consecutive twelve (12) month period.</w:t>
      </w:r>
    </w:p>
    <w:p>
      <w:pPr>
        <w:spacing w:after="0" w:line="159"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color w:val="auto"/>
        </w:rPr>
      </w:pPr>
    </w:p>
    <w:p>
      <w:pPr>
        <w:jc w:val="both"/>
        <w:ind w:firstLine="1241"/>
        <w:spacing w:after="0" w:line="216" w:lineRule="auto"/>
        <w:tabs>
          <w:tab w:leader="none" w:pos="1844"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Certain Events</w:t>
      </w:r>
      <w:r>
        <w:rPr>
          <w:rFonts w:ascii="Times New Roman" w:cs="Times New Roman" w:eastAsia="Times New Roman" w:hAnsi="Times New Roman"/>
          <w:sz w:val="19"/>
          <w:szCs w:val="19"/>
          <w:color w:val="auto"/>
        </w:rPr>
        <w:t>. Sellers shall provide to Administrative Agent written notice, promptly and in any event within five (5) Business Days following knowledge by or notice to any Seller, of (i) the existence of any Dispute asserted against a Purchased Receivable,</w:t>
      </w:r>
    </w:p>
    <w:p>
      <w:pPr>
        <w:jc w:val="both"/>
        <w:ind w:firstLine="3"/>
        <w:spacing w:after="0" w:line="217" w:lineRule="auto"/>
        <w:tabs>
          <w:tab w:leader="none" w:pos="315"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Purchased Receivable ceasing to be an Eligible Receivable, (iii) the occurrence of a Repurchase Event with respect to a Purchased Receivable, (iv) any event of default or any other event or circumstance that results in the acceleration of the maturity of any indebtedness under (x) the Credit Agreement or (y) any other indebtedness in a principal amount in excess of $200,000,000, (v) [reserved] or (vi) any Material Adverse Change, Termination Event or Insolvency Event with respect to an Account Debtor of a Purchased Receivable.</w:t>
      </w:r>
    </w:p>
    <w:p>
      <w:pPr>
        <w:spacing w:after="0" w:line="156"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54"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and other Reporting</w:t>
      </w:r>
      <w:r>
        <w:rPr>
          <w:rFonts w:ascii="Times New Roman" w:cs="Times New Roman" w:eastAsia="Times New Roman" w:hAnsi="Times New Roman"/>
          <w:sz w:val="19"/>
          <w:szCs w:val="19"/>
          <w:color w:val="auto"/>
        </w:rPr>
        <w:t xml:space="preserve">. Sellers will provide to Administrative Agent (in multiple copies, if requested by Administrative Agent) each of the reports, statements and other items set forth on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to this Agreement as and when required pursuant to such Exhibit;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Sellers shall be deemed to have provided any such report, statement or other item to the extent the same is posted on Sellers’ website and on the EDGAR website maintained by the SEC.</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20" w:firstLine="1241"/>
        <w:spacing w:after="0" w:line="222" w:lineRule="auto"/>
        <w:tabs>
          <w:tab w:leader="none" w:pos="1234"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Use of Funds</w:t>
      </w:r>
      <w:r>
        <w:rPr>
          <w:rFonts w:ascii="Times New Roman" w:cs="Times New Roman" w:eastAsia="Times New Roman" w:hAnsi="Times New Roman"/>
          <w:sz w:val="19"/>
          <w:szCs w:val="19"/>
          <w:color w:val="auto"/>
        </w:rPr>
        <w:t>. Each Seller agrees, effective as of the date of this Agreement and continuing throughout the term of this Agreement, that it shall not use any portion of the Purchase Price for any Purchased Receivable in any manner that is prohibited by Sanctions, Anti-Money Laundering Laws, or Anti-Corruption Laws, or that would cause Administrative Agent to be in violation of Sanctions, Anti-Money Laundering Laws, or Anti-Corruption Laws.</w:t>
      </w:r>
    </w:p>
    <w:p>
      <w:pPr>
        <w:spacing w:after="0" w:line="145" w:lineRule="exact"/>
        <w:rPr>
          <w:rFonts w:ascii="Times New Roman" w:cs="Times New Roman" w:eastAsia="Times New Roman" w:hAnsi="Times New Roman"/>
          <w:sz w:val="19"/>
          <w:szCs w:val="19"/>
          <w:color w:val="auto"/>
        </w:rPr>
      </w:pPr>
    </w:p>
    <w:p>
      <w:pPr>
        <w:jc w:val="both"/>
        <w:ind w:left="-620" w:firstLine="1241"/>
        <w:spacing w:after="0" w:line="222" w:lineRule="auto"/>
        <w:tabs>
          <w:tab w:leader="none" w:pos="1224"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Each Seller will, at its expense, promptly execute and deliver all further instruments and documents, and take all further action that Administrative Agent may reasonably request, from time to time, in order to perfect, protect, or more fully evidence the full and complete ownership and security interest in the Purchased Receivables, or to enable Administrative Agent, on behalf of Purchasers, to exercise or enforce the rights of Administrative Agent and Purchasers hereunder or under or in connection with the Purchased Receivables.</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620" w:firstLine="1241"/>
        <w:spacing w:after="0" w:line="213" w:lineRule="auto"/>
        <w:tabs>
          <w:tab w:leader="none" w:pos="1227"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Amendments or Liens</w:t>
      </w:r>
      <w:r>
        <w:rPr>
          <w:rFonts w:ascii="Times New Roman" w:cs="Times New Roman" w:eastAsia="Times New Roman" w:hAnsi="Times New Roman"/>
          <w:sz w:val="19"/>
          <w:szCs w:val="19"/>
          <w:color w:val="auto"/>
        </w:rPr>
        <w:t>. Each Seller will not amend, extend, or terminate any Contract or other agreement or document from which any Purchased Receivable arises in any manner that would extend the payment or timing or materially and adversely affect the collectability of the Purchased Receivables generated thereunder or the compliance by a Seller of its obligations under any of the Transaction Documents. Each Seller will not at any time sell, assign (by operation of law or otherwise), or otherwise dispose of, or create or suffer to exist any Lien (other than a Lien in favor of Administrative Agent for the benefit of Participating Purchasers and inchoate tax liens) upon or with respect to, any of the Purchased Receivables, or assign any right to receive income in respect thereof, or grant any option with respect thereto. Each Seller will defend the right, title, and interest of Administrative Agent and Purchasers in any of the Purchased Receivables, against all claims of third parties claiming through or under such Seller, at the sole cost and expense of such Seller. Each Seller will not, without Administrative Agent’s prior written consent, grant any extension of the time for payment of, or reduce the amount of, any Purchased Receivables, or compromise, compound or settle the same, or release, in whole or in part, Account Debtor from payment thereof.</w:t>
      </w:r>
    </w:p>
    <w:p>
      <w:pPr>
        <w:spacing w:after="0" w:line="149" w:lineRule="exact"/>
        <w:rPr>
          <w:rFonts w:ascii="Times New Roman" w:cs="Times New Roman" w:eastAsia="Times New Roman" w:hAnsi="Times New Roman"/>
          <w:sz w:val="19"/>
          <w:szCs w:val="19"/>
          <w:color w:val="auto"/>
        </w:rPr>
      </w:pPr>
    </w:p>
    <w:p>
      <w:pPr>
        <w:jc w:val="both"/>
        <w:ind w:left="-620" w:firstLine="1241"/>
        <w:spacing w:after="0" w:line="215" w:lineRule="auto"/>
        <w:tabs>
          <w:tab w:leader="none" w:pos="122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Name; Jurisdiction of Organization</w:t>
      </w:r>
      <w:r>
        <w:rPr>
          <w:rFonts w:ascii="Times New Roman" w:cs="Times New Roman" w:eastAsia="Times New Roman" w:hAnsi="Times New Roman"/>
          <w:sz w:val="19"/>
          <w:szCs w:val="19"/>
          <w:color w:val="auto"/>
        </w:rPr>
        <w:t>. Each Seller will not: (i) change its corporate or limited liability company status, (ii) change its name or type of organization or jurisdiction of organization, or (iii) change its principal place of business, chief executive office or the principal offices where it keeps its Records, unless: (A) Administrative Agent receives written notice from a Seller within ten (10) Business Days’ following such changes, which notice shall accurately set forth the new information; (B) if applicable, Administrative Agent receives a copy of the amendment to the certificate of incorporation or certificate of formation of a Seller providing for the name change certified by the Secretary of State of its jurisdiction of organization promptly after it is available, and (C) Administrative Agent shall be entitled to file such documents, supplements and amendments (including amendments to UCC financing statements) as it may reasonably deem necessary or advisable to maintain its first priority perfected security and ownership interest in the Purchased Receivables.</w:t>
      </w:r>
    </w:p>
    <w:p>
      <w:pPr>
        <w:spacing w:after="0" w:line="148" w:lineRule="exact"/>
        <w:rPr>
          <w:rFonts w:ascii="Times New Roman" w:cs="Times New Roman" w:eastAsia="Times New Roman" w:hAnsi="Times New Roman"/>
          <w:sz w:val="19"/>
          <w:szCs w:val="19"/>
          <w:color w:val="auto"/>
        </w:rPr>
      </w:pPr>
    </w:p>
    <w:p>
      <w:pPr>
        <w:ind w:left="-620" w:firstLine="1241"/>
        <w:spacing w:after="0"/>
        <w:tabs>
          <w:tab w:leader="none" w:pos="1227"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Account Debtors</w:t>
      </w:r>
      <w:r>
        <w:rPr>
          <w:rFonts w:ascii="Times New Roman" w:cs="Times New Roman" w:eastAsia="Times New Roman" w:hAnsi="Times New Roman"/>
          <w:sz w:val="19"/>
          <w:szCs w:val="19"/>
          <w:color w:val="auto"/>
        </w:rPr>
        <w:t>. No Seller shall sell, assign, pledge, or otherwise transfer any Receivable owing by any Account Debtor to any Person other than Administrative Agent for the benefit of Participating Purchasers, or resulting from an inchoate tax lien.</w:t>
      </w:r>
    </w:p>
    <w:p>
      <w:pPr>
        <w:spacing w:after="0" w:line="156"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left="-620" w:firstLine="1241"/>
        <w:spacing w:after="0" w:line="231" w:lineRule="auto"/>
        <w:tabs>
          <w:tab w:leader="none" w:pos="1227"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Change in Business or Collection Policy</w:t>
      </w:r>
      <w:r>
        <w:rPr>
          <w:rFonts w:ascii="Times New Roman" w:cs="Times New Roman" w:eastAsia="Times New Roman" w:hAnsi="Times New Roman"/>
          <w:sz w:val="19"/>
          <w:szCs w:val="19"/>
          <w:color w:val="auto"/>
        </w:rPr>
        <w:t>. No Seller shall make any change in the character of its business as substantially conducted on the date hereof or in its collection policy, which change would, in either case, impair in any material respect the collectability of any Purchased Receivable or otherwise have a Material Adverse Change.</w:t>
      </w:r>
    </w:p>
    <w:p>
      <w:pPr>
        <w:sectPr>
          <w:pgSz w:w="11900" w:h="16838" w:orient="portrait"/>
          <w:cols w:equalWidth="0" w:num="1">
            <w:col w:w="10620"/>
          </w:cols>
          <w:pgMar w:left="940" w:top="1440"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Rights and Obligations in Respect of Receivables</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8"/>
          <w:szCs w:val="18"/>
          <w:u w:val="single" w:color="auto"/>
          <w:color w:val="auto"/>
        </w:rPr>
        <w:t>Rights of Administrative Agent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17" w:lineRule="auto"/>
        <w:tabs>
          <w:tab w:leader="none" w:pos="1847"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Authorization to Collect Receivables, Etc</w:t>
      </w:r>
      <w:r>
        <w:rPr>
          <w:rFonts w:ascii="Times New Roman" w:cs="Times New Roman" w:eastAsia="Times New Roman" w:hAnsi="Times New Roman"/>
          <w:sz w:val="19"/>
          <w:szCs w:val="19"/>
          <w:color w:val="auto"/>
        </w:rPr>
        <w:t>. Each Seller hereby acknowledges the right of Administrative Agent for the benefit of Participating Purchasers, as owners of the Purchased Receivables, and upon the occurrence and during the continuation of a Notification Event, authorizes Administrative Agent and, its designees to take any and all steps in such Seller’s name or on behalf of such Seller necessary or desirable, in such Person’s determination, to collect all amounts due under any and all Purchased Receivables, including endorsing such Seller’s name on checks and other instruments representing Collections and enforcing such Purchased Receivables and the provisions of the related Contracts that concern payment and/or enforcement of rights to payment of such Purchased Receivables subject to such Notification Event.</w:t>
      </w:r>
    </w:p>
    <w:p>
      <w:pPr>
        <w:spacing w:after="0" w:line="155" w:lineRule="exact"/>
        <w:rPr>
          <w:rFonts w:ascii="Times New Roman" w:cs="Times New Roman" w:eastAsia="Times New Roman" w:hAnsi="Times New Roman"/>
          <w:sz w:val="19"/>
          <w:szCs w:val="19"/>
          <w:color w:val="auto"/>
        </w:rPr>
      </w:pPr>
    </w:p>
    <w:p>
      <w:pPr>
        <w:jc w:val="both"/>
        <w:ind w:firstLine="1241"/>
        <w:spacing w:after="0" w:line="225" w:lineRule="auto"/>
        <w:tabs>
          <w:tab w:leader="none" w:pos="18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Administrative Agent in Purchased Receivables</w:t>
      </w:r>
      <w:r>
        <w:rPr>
          <w:rFonts w:ascii="Times New Roman" w:cs="Times New Roman" w:eastAsia="Times New Roman" w:hAnsi="Times New Roman"/>
          <w:sz w:val="18"/>
          <w:szCs w:val="18"/>
          <w:color w:val="auto"/>
        </w:rPr>
        <w:t xml:space="preserve">. As owner of the Purchased Receivables, Administrative Agent and Participating Purchasers shall have no obligation to account for, to replace, to substitute or to return any Purchased Receivables or Collections thereon to Sellers. Administrative Agent, for the benefit of Participating Purchasers, shall have the sole right to retain any gains or profits created by buying, selling or holding the Purchased Receivables and shall have the sole risk of and responsibility for losses or damages created by such buying, selling or holding. Administrative Agent, for the benefit of Participating Purchasers, shall have the right to assign, transfer, deliver, hypothecate or otherwise deal with the Purchased Receivables and Collections thereon on whatever terms Administrative Agent, on behalf of Purchasers, shall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Purchased Receivables may not be assigned, transferred, pledged or hypothecated to a Competitor,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transfer, assignment, pledge or hypothecation of Purchased Receivables will not extend to the assignment or transfer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Agent’s or Participating Purchasers’ rights under this Agreement, which shall be governed by Section 10 of this Agreement.</w:t>
      </w:r>
    </w:p>
    <w:p>
      <w:pPr>
        <w:spacing w:after="0" w:line="161" w:lineRule="exact"/>
        <w:rPr>
          <w:rFonts w:ascii="Times New Roman" w:cs="Times New Roman" w:eastAsia="Times New Roman" w:hAnsi="Times New Roman"/>
          <w:sz w:val="18"/>
          <w:szCs w:val="18"/>
          <w:color w:val="auto"/>
        </w:rPr>
      </w:pPr>
    </w:p>
    <w:p>
      <w:pPr>
        <w:jc w:val="both"/>
        <w:ind w:firstLine="1241"/>
        <w:spacing w:after="0" w:line="216" w:lineRule="auto"/>
        <w:tabs>
          <w:tab w:leader="none" w:pos="1847"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Account Debtor Notices</w:t>
      </w:r>
      <w:r>
        <w:rPr>
          <w:rFonts w:ascii="Times New Roman" w:cs="Times New Roman" w:eastAsia="Times New Roman" w:hAnsi="Times New Roman"/>
          <w:sz w:val="19"/>
          <w:szCs w:val="19"/>
          <w:color w:val="auto"/>
        </w:rPr>
        <w:t>. Upon the occurrence of a Notification Event with respect to a Purchased Receivable (i) to the extent such Purchased Receivable is not paid in full within five (5) days following written notice by Administrative Agent to Seller of such Notification Event, and (ii) in the case of a Notification Event occurring by reason of a Material Adverse Change, to the extent such Purchased Receivable is not paid in full within five (5) days following the expiration of the consultation period in accordance with the definition of Notification Event hereunder, Administrative Agent may deliver, or cause the applicable Seller to deliver, a notice to the applicable Account Debtor, in form and substance reasonably satisfactory to Administrative Agent, of the sale and assignment to Administrative Agent of such Purchased Receivable and to remit all payments of such Purchased Receivable directly to or as directed by Administrative Agent.</w:t>
      </w:r>
    </w:p>
    <w:p>
      <w:pPr>
        <w:spacing w:after="0" w:line="14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18"/>
          <w:szCs w:val="18"/>
          <w:u w:val="single" w:color="auto"/>
          <w:color w:val="auto"/>
        </w:rPr>
        <w:t>Collections; Responsibilities of Seller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860" w:hanging="619"/>
        <w:spacing w:after="0"/>
        <w:tabs>
          <w:tab w:leader="none" w:pos="186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1" w:lineRule="exact"/>
        <w:rPr>
          <w:rFonts w:ascii="Times New Roman" w:cs="Times New Roman" w:eastAsia="Times New Roman" w:hAnsi="Times New Roman"/>
          <w:sz w:val="19"/>
          <w:szCs w:val="19"/>
          <w:color w:val="auto"/>
        </w:rPr>
      </w:pPr>
    </w:p>
    <w:p>
      <w:pPr>
        <w:jc w:val="both"/>
        <w:ind w:firstLine="1241"/>
        <w:spacing w:after="0" w:line="216" w:lineRule="auto"/>
        <w:tabs>
          <w:tab w:leader="none" w:pos="184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Collection of Receivables</w:t>
      </w:r>
      <w:r>
        <w:rPr>
          <w:rFonts w:ascii="Times New Roman" w:cs="Times New Roman" w:eastAsia="Times New Roman" w:hAnsi="Times New Roman"/>
          <w:sz w:val="19"/>
          <w:szCs w:val="19"/>
          <w:color w:val="auto"/>
        </w:rPr>
        <w:t>. Each Seller covenants and agrees (i) to direct each Account Debtor to pay all amounts owing under such Purchased Receivables only to a Collection Account, (ii) without Administrative Agent’s prior written consent, not to change such payment instructions prior to the Final Collection Date, (iii) to take any and all other reasonable actions, including actions reasonably requested by Administrative Agent, to ensure that all amounts owing under the Purchased Receivables will be deposited exclusively to such Collection Account or directly to Administrative Agent Payment Account, and (iv) to hold for the benefit of Participating Purchasers’ exclusive property and safeguard for the benefit of Participating Purchasers all Collections and other amounts remitted or paid to such Seller (or any of its Affiliates) in respect of Purchased Receivables for prompt deposit into Administrative Agent Payment Account for the benefit of Participating Purchasers.</w:t>
      </w:r>
    </w:p>
    <w:p>
      <w:pPr>
        <w:spacing w:after="0" w:line="144"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0" w:hanging="599"/>
        <w:spacing w:after="0"/>
        <w:tabs>
          <w:tab w:leader="none" w:pos="72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of Collections to Administrative Agent</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left="-500" w:firstLine="1240"/>
        <w:spacing w:after="0" w:line="231" w:lineRule="auto"/>
        <w:tabs>
          <w:tab w:leader="none" w:pos="135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individually, covenants and agrees to identify and deposit in the Administrative Agent Payment Account all Collections and other amounts received by such Seller (or any of its respective Affiliates that are not party to this Agreement) with respect to Purchased Receivables (whether such amounts were received by such Seller directly or were deposited in a Collection Account or other account maintained by such Seller or otherwise) by no later than two (2) Business Days after such Collections are received. Until remitted to the Administrative Agent Payment Account, such Seller will hold such funds as Administrative Agent’s and Participating Purchasers’ exclusive property and safeguard such funds for the benefit of Administrative Agent and Participating Purchasers.</w:t>
      </w:r>
    </w:p>
    <w:p>
      <w:pPr>
        <w:spacing w:after="0" w:line="145" w:lineRule="exact"/>
        <w:rPr>
          <w:rFonts w:ascii="Times New Roman" w:cs="Times New Roman" w:eastAsia="Times New Roman" w:hAnsi="Times New Roman"/>
          <w:sz w:val="18"/>
          <w:szCs w:val="18"/>
          <w:color w:val="auto"/>
        </w:rPr>
      </w:pPr>
    </w:p>
    <w:p>
      <w:pPr>
        <w:jc w:val="both"/>
        <w:ind w:left="-500" w:firstLine="1240"/>
        <w:spacing w:after="0" w:line="213" w:lineRule="auto"/>
        <w:tabs>
          <w:tab w:leader="none" w:pos="1355"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amounts payable by a Seller to the Administrative Agent or any Purchaser pursuant to or in connection with any Transaction Document (other than Collections or other payments on Purchased Receivables) shall be paid in full and in Dollars, free and clear of all deductions, set-off or withholdings whatsoever except only as may be required by Law, and shall be paid on the date such amount is due no later than 1:00 pm (New York City time) to the Administrative Agent Payment Account, or such other account as may be specified in writing by the Administrative Agent to Sellers by no later than three (3) Business Days before such payment is due. The Administrative Agent shall promptly distribute to each Participating Purchaser, at such address as such Participating Purchaser shall indicate in writing, such Participating Purchaser’s applicable Pro Rata Share of all such payments to the extent received by the Administrative Agent. All payments to be made under any Transaction Document or in respect of a Purchased Receivable shall be made in Dollars in immediately available funds. Any amounts or performance due on any other obligation under this Agreement that would fall due for payment or performance on a day other than a Business Day shall be payable or due on the succeeding Business Day and interest calculations, if any, shall be adjusted accordingly for such later payment.</w:t>
      </w:r>
    </w:p>
    <w:p>
      <w:pPr>
        <w:spacing w:after="0" w:line="161" w:lineRule="exact"/>
        <w:rPr>
          <w:rFonts w:ascii="Times New Roman" w:cs="Times New Roman" w:eastAsia="Times New Roman" w:hAnsi="Times New Roman"/>
          <w:sz w:val="19"/>
          <w:szCs w:val="19"/>
          <w:color w:val="auto"/>
        </w:rPr>
      </w:pPr>
    </w:p>
    <w:p>
      <w:pPr>
        <w:jc w:val="both"/>
        <w:ind w:left="-500" w:firstLine="1240"/>
        <w:spacing w:after="0" w:line="211" w:lineRule="auto"/>
        <w:tabs>
          <w:tab w:leader="none" w:pos="1356"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Participating Purchaser shall, by exercising any right of setoff or counterclaim or otherwise, obtain payment in respect of any Purchased Receivable or other obligations hereunder resulting in such Participating Purchaser receiving payment of a proportion of the aggregate amount payable under any Purchased Receivable to such Participating Purchaser greater than its Pro Rata Share thereof as provided herein, then the Participating Purchaser receiving such greater proportion shall (a) notify the Administrative Agent of such fact, and (b) purchase (for cash) participations in the other Participating Purchasers’ Pro Rata Shares of the Purchased Receivable (not in excess of the applicable Purchase Price thereof), or make such other adjustments as shall be equitable, so that the benefit of all such payments shall be shared by the Participating Purchasers ratably in accordance with the aggregate amount owing to them; provided: (i) if any such participations are purchased and all or any portion of the payment giving rise thereto is recovered, such participations shall be rescinded and the purchase price restored to the extent of such recovery, without interest; and (ii) the provisions of this Section shall not be construed to apply to (A) any payment made by the Seller pursuant to and in accordance with the express terms hereof, or (B) any payment obtained by a Participating Purchaser as consideration for the assignment of or sale of a participation in any of its Purchased Receivables to any assignee or participant. The Seller consents to the foregoing and agrees, to the extent it may effectively do so under applicable law, that any Participating Purchaser acquiring a participation pursuant to the foregoing arrangements may exercise against the Seller rights of setoff and counterclaim with respect to such participation as fully as if such Participating Purchaser were a direct creditor of the Seller in the amount of such participation.</w:t>
      </w:r>
    </w:p>
    <w:p>
      <w:pPr>
        <w:spacing w:after="0" w:line="148" w:lineRule="exact"/>
        <w:rPr>
          <w:rFonts w:ascii="Times New Roman" w:cs="Times New Roman" w:eastAsia="Times New Roman" w:hAnsi="Times New Roman"/>
          <w:sz w:val="19"/>
          <w:szCs w:val="19"/>
          <w:color w:val="auto"/>
        </w:rPr>
      </w:pPr>
    </w:p>
    <w:p>
      <w:pPr>
        <w:jc w:val="both"/>
        <w:ind w:left="-1120" w:firstLine="1241"/>
        <w:spacing w:after="0" w:line="231" w:lineRule="auto"/>
        <w:tabs>
          <w:tab w:leader="none" w:pos="727"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Changes to Purchased Receivables</w:t>
      </w:r>
      <w:r>
        <w:rPr>
          <w:rFonts w:ascii="Times New Roman" w:cs="Times New Roman" w:eastAsia="Times New Roman" w:hAnsi="Times New Roman"/>
          <w:sz w:val="19"/>
          <w:szCs w:val="19"/>
          <w:color w:val="auto"/>
        </w:rPr>
        <w:t>. (i) Sellers will not amend, modify or extend the payment terms under any Purchased Receivable, unless approved in writing in advance by Administrative Agent, and shall not otherwise waive or permit or agree to any material deviation from the terms or conditions of any Purchased Receivable and (ii) Sellers will not take, or cause to be taken, any</w:t>
      </w:r>
    </w:p>
    <w:p>
      <w:pPr>
        <w:sectPr>
          <w:pgSz w:w="11900" w:h="16838" w:orient="portrait"/>
          <w:cols w:equalWidth="0" w:num="1">
            <w:col w:w="10120"/>
          </w:cols>
          <w:pgMar w:left="1440" w:top="1440" w:right="339" w:bottom="1440" w:gutter="0" w:footer="0" w:header="0"/>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action that otherwise reduces the amount payable of any Purchased Receivable or materially impairs the full and timely collection thereof.</w:t>
      </w:r>
    </w:p>
    <w:p>
      <w:pPr>
        <w:spacing w:after="0" w:line="168" w:lineRule="exact"/>
        <w:rPr>
          <w:sz w:val="20"/>
          <w:szCs w:val="20"/>
          <w:color w:val="auto"/>
        </w:rPr>
      </w:pPr>
    </w:p>
    <w:p>
      <w:pPr>
        <w:jc w:val="both"/>
        <w:ind w:firstLine="1241"/>
        <w:spacing w:after="0" w:line="219" w:lineRule="auto"/>
        <w:tabs>
          <w:tab w:leader="none" w:pos="185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Reconciliation Report</w:t>
      </w:r>
      <w:r>
        <w:rPr>
          <w:rFonts w:ascii="Times New Roman" w:cs="Times New Roman" w:eastAsia="Times New Roman" w:hAnsi="Times New Roman"/>
          <w:sz w:val="19"/>
          <w:szCs w:val="19"/>
          <w:color w:val="auto"/>
        </w:rPr>
        <w:t>. Concurrently with each transfer of funds by any Seller to the Administrative Agent Payment Account, the Sellers shall provide to Administrative Agent, in form and substance reasonably satisfactory to Administrative Agent, a full reconciliation of all Collections and adjustments (including repurchases thereof, indemnifications and setoffs with respect thereto, if any) with respect to each Purchased Receivable of an Account Debtor for which Collections were received. The Sellers shall submit each such reconciliation report to Administrative Agent via the Platform or, at Administrative Agent sole election, Sellers may deliver a written reconciliation report to Administrative Agent.</w:t>
      </w:r>
    </w:p>
    <w:p>
      <w:pPr>
        <w:spacing w:after="0" w:line="144" w:lineRule="exact"/>
        <w:rPr>
          <w:rFonts w:ascii="Times New Roman" w:cs="Times New Roman" w:eastAsia="Times New Roman" w:hAnsi="Times New Roman"/>
          <w:sz w:val="19"/>
          <w:szCs w:val="19"/>
          <w:color w:val="auto"/>
        </w:rPr>
      </w:pPr>
    </w:p>
    <w:p>
      <w:pPr>
        <w:jc w:val="both"/>
        <w:ind w:firstLine="1241"/>
        <w:spacing w:after="0" w:line="231" w:lineRule="auto"/>
        <w:tabs>
          <w:tab w:leader="none" w:pos="184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Non-Payment Report</w:t>
      </w:r>
      <w:r>
        <w:rPr>
          <w:rFonts w:ascii="Times New Roman" w:cs="Times New Roman" w:eastAsia="Times New Roman" w:hAnsi="Times New Roman"/>
          <w:sz w:val="19"/>
          <w:szCs w:val="19"/>
          <w:color w:val="auto"/>
        </w:rPr>
        <w:t>. If a Purchased Receivable remains unpaid, in part or in full, thirty (30) or more days after its Due Date, the applicable Seller shall, at Administrative Agent’s request, report to Administrative Agent in a written report describing in reasonable detail the cause of such non-payment, including whether a Dispute or Insolvency Event exists with respect to the applicable Account Debtor.</w:t>
      </w:r>
    </w:p>
    <w:p>
      <w:pPr>
        <w:spacing w:after="0" w:line="142" w:lineRule="exact"/>
        <w:rPr>
          <w:rFonts w:ascii="Times New Roman" w:cs="Times New Roman" w:eastAsia="Times New Roman" w:hAnsi="Times New Roman"/>
          <w:sz w:val="19"/>
          <w:szCs w:val="19"/>
          <w:color w:val="auto"/>
        </w:rPr>
      </w:pPr>
    </w:p>
    <w:p>
      <w:pPr>
        <w:ind w:left="1860" w:hanging="604"/>
        <w:spacing w:after="0"/>
        <w:tabs>
          <w:tab w:leader="none" w:pos="1860"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1" w:lineRule="exact"/>
        <w:rPr>
          <w:sz w:val="20"/>
          <w:szCs w:val="20"/>
          <w:color w:val="auto"/>
        </w:rPr>
      </w:pPr>
    </w:p>
    <w:p>
      <w:pPr>
        <w:jc w:val="both"/>
        <w:ind w:firstLine="1241"/>
        <w:spacing w:after="0" w:line="211" w:lineRule="auto"/>
        <w:tabs>
          <w:tab w:leader="none" w:pos="1854"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Agent as Attorney-in-Fact</w:t>
      </w:r>
      <w:r>
        <w:rPr>
          <w:rFonts w:ascii="Times New Roman" w:cs="Times New Roman" w:eastAsia="Times New Roman" w:hAnsi="Times New Roman"/>
          <w:sz w:val="19"/>
          <w:szCs w:val="19"/>
          <w:color w:val="auto"/>
        </w:rPr>
        <w:t>. Upon the occurrence and during the continuation of a Notification Event, each Seller hereby appoints Administrative Agent as the true and lawful attorney-in-fact of such Seller, with full power of substitution, coupled with an interest, and hereby authorizes and empowers Administrative Agent in the name and on behalf of such Seller at any time upon the occurrence and during the continuation of a Notification Event, to take such actions, and execute and deliver such documents, as Administrative Agent deems necessary or advisable in connection with such Purchased Receivable, (i) to perfect the purchase and sale of such Purchased Receivable, including, without limitation, to send a notice of such purchase and sale to the applicable Account Debtor or (ii) to make collection of and otherwise realize the benefits of such Purchased Receivable. At any time upon the occurrence and during the continuation of a Notification Event, Administrative Agent, for the benefit of Participating Purchasers, shall have the right to bring suit, in Administrative Agent’s or in such Seller’s name, and generally have all other rights of an owner and holder of such Purchased Receivable, including without limitation the right to accelerate or extend the time of payment, settle, compromise, release in whole or in part any amounts owing on such Purchased Receivable and issue credits in its own name or the name of the Sellers. At any time upon the occurrence and during the continuation of a Notification Event, Administrative Agent, for the benefit of Participating Purchasers, may endorse or sign Administrative Agent’s or such Seller’s name on any checks or other instruments with respect to such Purchased Receivable. Administrative Agent and Purchasers shall not be liable for any actions taken by Administrative Agent in accordance with this Section unless such actions constitute the gross negligence, willful misconduct or a material breach of its obligations by Administrative Agent as determined by a court of competent jurisdiction in a final and non-appealable judgment. This power of attorney, being coupled with an interest, is irrevocable and shall not expire until the Final Collection Date.</w:t>
      </w:r>
    </w:p>
    <w:p>
      <w:pPr>
        <w:spacing w:after="0" w:line="149"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54"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Licensed Property</w:t>
      </w:r>
      <w:r>
        <w:rPr>
          <w:rFonts w:ascii="Times New Roman" w:cs="Times New Roman" w:eastAsia="Times New Roman" w:hAnsi="Times New Roman"/>
          <w:sz w:val="19"/>
          <w:szCs w:val="19"/>
          <w:color w:val="auto"/>
        </w:rPr>
        <w:t>. Upon the occurrence and during the continuation of a Termination Event, to the extent that the Sellers do not own the computer software that Sellers use to account for such Purchased Receivable, Sellers shall use reasonable efforts to provide Administrative Agent with such licenses, sublicenses and/or assignments of contracts as Administrative Agent shall require with regard to all services and computer hardware or software used by Sellers in connection with the servicing of such Purchased Receivable.</w:t>
      </w:r>
    </w:p>
    <w:p>
      <w:pPr>
        <w:spacing w:after="0" w:line="158" w:lineRule="exact"/>
        <w:rPr>
          <w:rFonts w:ascii="Times New Roman" w:cs="Times New Roman" w:eastAsia="Times New Roman" w:hAnsi="Times New Roman"/>
          <w:sz w:val="19"/>
          <w:szCs w:val="19"/>
          <w:color w:val="auto"/>
        </w:rPr>
      </w:pPr>
    </w:p>
    <w:p>
      <w:pPr>
        <w:jc w:val="both"/>
        <w:ind w:firstLine="1241"/>
        <w:spacing w:after="0" w:line="220" w:lineRule="auto"/>
        <w:tabs>
          <w:tab w:leader="none" w:pos="1844"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Payments</w:t>
      </w:r>
      <w:r>
        <w:rPr>
          <w:rFonts w:ascii="Times New Roman" w:cs="Times New Roman" w:eastAsia="Times New Roman" w:hAnsi="Times New Roman"/>
          <w:sz w:val="19"/>
          <w:szCs w:val="19"/>
          <w:color w:val="auto"/>
        </w:rPr>
        <w:t>. With respect to any Purchased Receivable, without duplication of any Deferred Payments previously made in accordance with Section 2.1(e), (i) in the event the Net Invoice Amount of such Purchased Receivable in the applicable True Up Report for such Purchased Receivable exceeds the Net Invoice Amount of such Purchased Receivable as reported by the applicable Seller to the applicable Purchaser on the applicable Purchase Date, the applicable Purchaser shall pay to the applicable Seller an amount equal to such excess less a discount calculated at the Discount</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9"/>
          <w:szCs w:val="19"/>
          <w:color w:val="auto"/>
        </w:rPr>
        <w:t>Rate or (ii) in the event the Net Invoice Amount of such Purchased Receivable as reported by the applicable Seller to the applicable Purchaser on the applicable Purchase Date exceeds the Net Invoice Amount of such Purchased Receivable in the applicable True Up Report for such Purchased</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Receivable, the applicable Seller shall pay to the applicable Purchaser an amount equal to any reduction in such Net Invoice Amount less a discount calculated at the Discount Rate (any such payment, a “</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Any Settlement Payment made hereunder will be paid in full in cash</w:t>
      </w:r>
    </w:p>
    <w:p>
      <w:pPr>
        <w:spacing w:after="0" w:line="1" w:lineRule="exact"/>
        <w:rPr>
          <w:sz w:val="20"/>
          <w:szCs w:val="20"/>
          <w:color w:val="auto"/>
        </w:rPr>
      </w:pPr>
    </w:p>
    <w:p>
      <w:pPr>
        <w:jc w:val="both"/>
        <w:ind w:firstLine="3"/>
        <w:spacing w:after="0" w:line="217" w:lineRule="auto"/>
        <w:tabs>
          <w:tab w:leader="none" w:pos="273"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Settlement Payment under Section 6.2(k)(i), by the applicable Purchaser to the applicable Seller immediately following receipt by such Purchaser of Collections in excess of the applicable percentage of the Net Invoice Amount of such Purchased Receivable or (y) in the event of a Settlement Payment under Section 6.2(k)(ii), by the applicable Seller to the applicable Purchaser at the end of the Maximum Invoice Term, after giving effect to any applicable Buffer Period.</w:t>
      </w:r>
    </w:p>
    <w:p>
      <w:pPr>
        <w:spacing w:after="0" w:line="15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8"/>
          <w:szCs w:val="18"/>
          <w:u w:val="single" w:color="auto"/>
          <w:color w:val="auto"/>
        </w:rPr>
        <w:t>Further Action Evidencing Purchases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22" w:lineRule="auto"/>
        <w:tabs>
          <w:tab w:leader="none" w:pos="1847"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Documents and Actions</w:t>
      </w:r>
      <w:r>
        <w:rPr>
          <w:rFonts w:ascii="Times New Roman" w:cs="Times New Roman" w:eastAsia="Times New Roman" w:hAnsi="Times New Roman"/>
          <w:sz w:val="19"/>
          <w:szCs w:val="19"/>
          <w:color w:val="auto"/>
        </w:rPr>
        <w:t>. From time to time, at their expense, Sellers will promptly execute and deliver all further instruments and documents, and take all further reasonable action that Administrative Agent may reasonably request in order to perfect, protect or more fully evidence Administrative Agent’s and Purchasers ownership of the Purchased Receivables, or to enable Administrative Agent or Purchasers to exercise or enforce any of its rights under any Transaction Document.</w:t>
      </w:r>
    </w:p>
    <w:p>
      <w:pPr>
        <w:spacing w:after="0" w:line="145" w:lineRule="exact"/>
        <w:rPr>
          <w:rFonts w:ascii="Times New Roman" w:cs="Times New Roman" w:eastAsia="Times New Roman" w:hAnsi="Times New Roman"/>
          <w:sz w:val="19"/>
          <w:szCs w:val="19"/>
          <w:color w:val="auto"/>
        </w:rPr>
      </w:pPr>
    </w:p>
    <w:p>
      <w:pPr>
        <w:jc w:val="both"/>
        <w:ind w:firstLine="1241"/>
        <w:spacing w:after="0" w:line="231" w:lineRule="auto"/>
        <w:tabs>
          <w:tab w:leader="none" w:pos="1844"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Authorization to File Financing Statements</w:t>
      </w:r>
      <w:r>
        <w:rPr>
          <w:rFonts w:ascii="Times New Roman" w:cs="Times New Roman" w:eastAsia="Times New Roman" w:hAnsi="Times New Roman"/>
          <w:sz w:val="19"/>
          <w:szCs w:val="19"/>
          <w:color w:val="auto"/>
        </w:rPr>
        <w:t>. Each Seller authorizes Administrative Agent (or its designee) to file at any time and from time to time such initial financing statements and amendments with respect to the Purchased Receivables naming the applicable Seller as seller/debtor and Administrative Agent as buyer/secured party, as Administrative Agent may deem necessary or advisable.</w:t>
      </w:r>
    </w:p>
    <w:p>
      <w:pPr>
        <w:spacing w:after="0" w:line="143"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Application of Collections; Credit and Discounts</w:t>
      </w:r>
      <w:r>
        <w:rPr>
          <w:rFonts w:ascii="Times New Roman" w:cs="Times New Roman" w:eastAsia="Times New Roman" w:hAnsi="Times New Roman"/>
          <w:sz w:val="19"/>
          <w:szCs w:val="19"/>
          <w:color w:val="auto"/>
        </w:rPr>
        <w:t>. If a Seller is unable to identify any payment by an Account Debtor (by invoice amount or otherwise) as relating to a particular Purchased Receivable, if any such payment is misidentified or if Administrative Agent determines</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that the Seller’s reconciliation is otherwise incorrect or inaccurate, the relevant amounts shall be applied as a Collection of the Purchased Receivables of such Account Debtor in the order of the age of such Purchased Receivables, starting with the oldest of such Purchased Receivables.</w:t>
      </w:r>
    </w:p>
    <w:p>
      <w:pPr>
        <w:spacing w:after="0" w:line="1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b w:val="1"/>
          <w:bCs w:val="1"/>
          <w:u w:val="single" w:color="auto"/>
          <w:color w:val="auto"/>
        </w:rPr>
        <w:t>Termination</w:t>
      </w:r>
    </w:p>
    <w:p>
      <w:pPr>
        <w:spacing w:after="0" w:line="18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8"/>
          <w:szCs w:val="18"/>
          <w:u w:val="single" w:color="auto"/>
          <w:color w:val="auto"/>
        </w:rPr>
        <w:t>Rights to Terminate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1860" w:hanging="619"/>
        <w:spacing w:after="0"/>
        <w:tabs>
          <w:tab w:leader="none" w:pos="186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or Sellers may each terminate this Agreement at any time upon thirty (30) days’ written notice to the</w:t>
      </w:r>
    </w:p>
    <w:p>
      <w:pPr>
        <w:spacing w:after="0"/>
        <w:rPr>
          <w:sz w:val="20"/>
          <w:szCs w:val="20"/>
          <w:color w:val="auto"/>
        </w:rPr>
      </w:pPr>
      <w:r>
        <w:rPr>
          <w:rFonts w:ascii="Times New Roman" w:cs="Times New Roman" w:eastAsia="Times New Roman" w:hAnsi="Times New Roman"/>
          <w:sz w:val="19"/>
          <w:szCs w:val="19"/>
          <w:color w:val="auto"/>
        </w:rPr>
        <w:t>other party.</w:t>
      </w:r>
    </w:p>
    <w:p>
      <w:pPr>
        <w:spacing w:after="0" w:line="148" w:lineRule="exact"/>
        <w:rPr>
          <w:sz w:val="20"/>
          <w:szCs w:val="20"/>
          <w:color w:val="auto"/>
        </w:rPr>
      </w:pPr>
    </w:p>
    <w:p>
      <w:pPr>
        <w:ind w:firstLine="1241"/>
        <w:spacing w:after="0"/>
        <w:tabs>
          <w:tab w:leader="none" w:pos="1844"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Administrative Agent may terminate this Agreement immediately upon written notice to Sellers upon the occurrence of any of the following, each, a “</w:t>
      </w:r>
      <w:r>
        <w:rPr>
          <w:rFonts w:ascii="Times New Roman" w:cs="Times New Roman" w:eastAsia="Times New Roman" w:hAnsi="Times New Roman"/>
          <w:sz w:val="19"/>
          <w:szCs w:val="19"/>
          <w:u w:val="single" w:color="auto"/>
          <w:color w:val="auto"/>
        </w:rPr>
        <w:t>Termination Event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620" w:firstLine="1240"/>
        <w:spacing w:after="0" w:line="233" w:lineRule="auto"/>
        <w:tabs>
          <w:tab w:leader="none" w:pos="2474"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Seller fails to transfer funds or pay any obligations to Administrative Agent when required or when due and payable and such failure remains unremedied for five (5) Business Days;</w:t>
      </w:r>
    </w:p>
    <w:p>
      <w:pPr>
        <w:spacing w:after="0" w:line="155" w:lineRule="exact"/>
        <w:rPr>
          <w:rFonts w:ascii="Times New Roman" w:cs="Times New Roman" w:eastAsia="Times New Roman" w:hAnsi="Times New Roman"/>
          <w:sz w:val="19"/>
          <w:szCs w:val="19"/>
          <w:color w:val="auto"/>
        </w:rPr>
      </w:pPr>
    </w:p>
    <w:p>
      <w:pPr>
        <w:jc w:val="both"/>
        <w:ind w:left="620" w:firstLine="1240"/>
        <w:spacing w:after="0" w:line="222" w:lineRule="auto"/>
        <w:tabs>
          <w:tab w:leader="none" w:pos="2475"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Seller fails to perform any of the covenants contained in any of the Transaction Documents to which it is a party (other than failing to transfer funds or pay any obligations to Administrative Agent when required or when due and payable), and such failure shall continue for a period of thirty (30) days following the earlier of (i) the date an officer of any Seller has actual knowledge of such failure, and (ii) the date of receipt by Sellers of written notice from Administrative Agent of such failure;</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1240"/>
        <w:spacing w:after="0" w:line="233" w:lineRule="auto"/>
        <w:tabs>
          <w:tab w:leader="none" w:pos="185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warranty or other statement of fact made by a Seller to Administrative Agent or Purchasers in any Transaction Document shall when made or deemed made be false or misleading in any material respect;</w:t>
      </w:r>
    </w:p>
    <w:p>
      <w:pPr>
        <w:spacing w:after="0" w:line="155" w:lineRule="exact"/>
        <w:rPr>
          <w:rFonts w:ascii="Times New Roman" w:cs="Times New Roman" w:eastAsia="Times New Roman" w:hAnsi="Times New Roman"/>
          <w:sz w:val="19"/>
          <w:szCs w:val="19"/>
          <w:color w:val="auto"/>
        </w:rPr>
      </w:pPr>
    </w:p>
    <w:p>
      <w:pPr>
        <w:jc w:val="both"/>
        <w:ind w:firstLine="1240"/>
        <w:spacing w:after="0" w:line="212" w:lineRule="auto"/>
        <w:tabs>
          <w:tab w:leader="none" w:pos="184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general assignment of the assets of a Seller for the benefit of its creditors, (ii) any proceeding shall be instituted by or against a Seller under the United States Bankruptcy Code or any other federal, state or foreign bankruptcy, insolvency, reorganization or other law affecting creditors’ rights generally or any other or similar proceedings seeking any stay, reorganization, arrangement, composition or readjustment of the obligations and indebtedness of such Seller, seeking to adjudicate it as bankrupt or insolvent, or seeking the liquidation, winding up, reorganization, arrangement, adjustment, protection, relief, or composition of it or its debts under any law relating to bankruptcy, insolvency or reorganization or relief of debtors, or any proceeding is instituted seeking the entry of an order for relief or the appointment of a receiver, trustee, custodian or other similar official for it or for all or substantially all of its property and, in the case of any such proceeding instituted against it (but not instituted by it), either such proceeding shall remain undismissed or unstayed for a period of 60 days, or any of the actions sought in such proceeding (including the entry of an order for relief against, or the appointment of a receiver, trustee, custodian or other similar official for, it or for all or substantially all of its property), (iii) the commencement by a Seller of a voluntary case under any applicable insolvency law now or hereafter in effect, or the consent by such Seller to the entry of an order for relief in an involuntary case under any such law, or the consent by such Seller to the appointment of or taking possession by a receiver, liquidator, assignee, custodian, trustee, sequestrator or similar official for such Seller or for any substantial part of its property, or the making by such Seller of any general assignment for the benefit of creditors; or</w:t>
      </w:r>
    </w:p>
    <w:p>
      <w:pPr>
        <w:spacing w:after="0" w:line="147" w:lineRule="exact"/>
        <w:rPr>
          <w:rFonts w:ascii="Times New Roman" w:cs="Times New Roman" w:eastAsia="Times New Roman" w:hAnsi="Times New Roman"/>
          <w:sz w:val="19"/>
          <w:szCs w:val="19"/>
          <w:color w:val="auto"/>
        </w:rPr>
      </w:pPr>
    </w:p>
    <w:p>
      <w:pPr>
        <w:ind w:left="1840" w:hanging="600"/>
        <w:spacing w:after="0"/>
        <w:tabs>
          <w:tab w:leader="none" w:pos="184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 Change of Control; or</w:t>
      </w:r>
    </w:p>
    <w:p>
      <w:pPr>
        <w:spacing w:after="0" w:line="181" w:lineRule="exact"/>
        <w:rPr>
          <w:rFonts w:ascii="Times New Roman" w:cs="Times New Roman" w:eastAsia="Times New Roman" w:hAnsi="Times New Roman"/>
          <w:sz w:val="19"/>
          <w:szCs w:val="19"/>
          <w:color w:val="auto"/>
        </w:rPr>
      </w:pPr>
    </w:p>
    <w:p>
      <w:pPr>
        <w:ind w:firstLine="1240"/>
        <w:spacing w:after="0"/>
        <w:tabs>
          <w:tab w:leader="none" w:pos="184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and continuation of an Event of Default under and as defined in the Credit Agreement which has resulted in the acceleration of the obligaitons thereunder.</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620" w:firstLine="1241"/>
        <w:spacing w:after="0" w:line="216" w:lineRule="auto"/>
        <w:tabs>
          <w:tab w:leader="none" w:pos="1227"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Administrative Agent terminates this Agreement as a result of the occurrence of any Termination Event, all amounts then owing from Sellers and / or Purchasers hereunder shall be immediately due and payable, Administrative Agent may exercise any or all rights and remedies available to Administrative Agent under any of the Transaction Documents and at law or equity;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upon the occurrence of a Termination Event set forth in Section 7.1(iv) above with respect to any Seller: (a) this Agreement shall automatically and without notice or action terminate and (b) Administrative Agent and Purchasers shall have no obligation to pay the Purchase Price for any Receivables for which an Acceptance was delivered (but for which the Initial Payment of the Purchase Price had not yet been paid) prior to the commencement of such case or proceeding. Termination shall not affect any rights created or obligations incurred under this Agreement prior to termination.</w:t>
      </w:r>
    </w:p>
    <w:p>
      <w:pPr>
        <w:spacing w:after="0" w:line="144" w:lineRule="exact"/>
        <w:rPr>
          <w:rFonts w:ascii="Times New Roman" w:cs="Times New Roman" w:eastAsia="Times New Roman" w:hAnsi="Times New Roman"/>
          <w:sz w:val="19"/>
          <w:szCs w:val="19"/>
          <w:color w:val="auto"/>
        </w:rPr>
      </w:pPr>
    </w:p>
    <w:p>
      <w:pPr>
        <w:jc w:val="both"/>
        <w:ind w:left="-620" w:firstLine="1241"/>
        <w:spacing w:after="0" w:line="231" w:lineRule="auto"/>
        <w:tabs>
          <w:tab w:leader="none" w:pos="122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Agreement, including all covenants, representations and warranties, repurchase obligations and indemnities made herein shall continue in full force and effect until the Final Collection Date. Sellers’ obligations to indemnify Administrative Agent and Purchasers with respect to certain expenses, damages, losses, costs and liabilities shall survive until the later of (x) the Final Collection Date and (y) such time as all applicable statute of limitations periods with respect to actions that may be brought by Administrative Agent or Purchasers under the Transaction Documents have run. For the avoidance of doubt, the obligation to indemnify described herein will not extend to any losses solely arising from or incurred in connection with the occurrence of a Termination Event pursuant to </w:t>
      </w:r>
      <w:r>
        <w:rPr>
          <w:rFonts w:ascii="Times New Roman" w:cs="Times New Roman" w:eastAsia="Times New Roman" w:hAnsi="Times New Roman"/>
          <w:sz w:val="18"/>
          <w:szCs w:val="18"/>
          <w:u w:val="single" w:color="auto"/>
          <w:color w:val="auto"/>
        </w:rPr>
        <w:t>Section 7.1(iv)</w:t>
      </w:r>
      <w:r>
        <w:rPr>
          <w:rFonts w:ascii="Times New Roman" w:cs="Times New Roman" w:eastAsia="Times New Roman" w:hAnsi="Times New Roman"/>
          <w:sz w:val="18"/>
          <w:szCs w:val="18"/>
          <w:color w:val="auto"/>
        </w:rPr>
        <w:t xml:space="preserve"> above.</w:t>
      </w:r>
    </w:p>
    <w:p>
      <w:pPr>
        <w:sectPr>
          <w:pgSz w:w="11900" w:h="16838" w:orient="portrait"/>
          <w:cols w:equalWidth="0" w:num="1">
            <w:col w:w="10620"/>
          </w:cols>
          <w:pgMar w:left="940" w:top="1440"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8.</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p>
    <w:p>
      <w:pPr>
        <w:spacing w:after="0" w:line="172"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Indemnities by Sellers</w:t>
      </w:r>
      <w:r>
        <w:rPr>
          <w:rFonts w:ascii="Times New Roman" w:cs="Times New Roman" w:eastAsia="Times New Roman" w:hAnsi="Times New Roman"/>
          <w:sz w:val="18"/>
          <w:szCs w:val="18"/>
          <w:color w:val="auto"/>
        </w:rPr>
        <w:t>. Without limiting any other rights which Administrative Agent and Purchasers may have hereunder or under applicable law, each Seller, jointly and severally, hereby agrees to indemnify Administrative Agent, Purchasers and their respective affiliates and its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and their respective assigns, successors, officers, directors, employees, representatives, attorneys and agents (each of the foregoing Persons being individually called an “</w:t>
      </w:r>
      <w:r>
        <w:rPr>
          <w:rFonts w:ascii="Times New Roman" w:cs="Times New Roman" w:eastAsia="Times New Roman" w:hAnsi="Times New Roman"/>
          <w:sz w:val="19"/>
          <w:szCs w:val="19"/>
          <w:u w:val="single" w:color="auto"/>
          <w:color w:val="auto"/>
        </w:rPr>
        <w:t>Indemnified Party</w:t>
      </w:r>
      <w:r>
        <w:rPr>
          <w:rFonts w:ascii="Times New Roman" w:cs="Times New Roman" w:eastAsia="Times New Roman" w:hAnsi="Times New Roman"/>
          <w:sz w:val="19"/>
          <w:szCs w:val="19"/>
          <w:color w:val="auto"/>
        </w:rPr>
        <w:t>”) for, and hold the Indemnified Parties harmless from and against, in each case upon demand, any and all</w:t>
      </w:r>
    </w:p>
    <w:p>
      <w:pPr>
        <w:spacing w:after="0" w:line="213" w:lineRule="auto"/>
        <w:rPr>
          <w:sz w:val="20"/>
          <w:szCs w:val="20"/>
          <w:color w:val="auto"/>
        </w:rPr>
      </w:pPr>
      <w:r>
        <w:rPr>
          <w:rFonts w:ascii="Times New Roman" w:cs="Times New Roman" w:eastAsia="Times New Roman" w:hAnsi="Times New Roman"/>
          <w:sz w:val="19"/>
          <w:szCs w:val="19"/>
          <w:color w:val="auto"/>
        </w:rPr>
        <w:t>damages, losses, claims, judgments, liabilities and related costs and expenses, including reasonable attorneys’ fees and disbursements (all of the</w:t>
      </w:r>
    </w:p>
    <w:p>
      <w:pPr>
        <w:spacing w:after="0" w:line="205" w:lineRule="auto"/>
        <w:rPr>
          <w:sz w:val="20"/>
          <w:szCs w:val="20"/>
          <w:color w:val="auto"/>
        </w:rPr>
      </w:pPr>
      <w:r>
        <w:rPr>
          <w:rFonts w:ascii="Times New Roman" w:cs="Times New Roman" w:eastAsia="Times New Roman" w:hAnsi="Times New Roman"/>
          <w:sz w:val="19"/>
          <w:szCs w:val="19"/>
          <w:color w:val="auto"/>
        </w:rPr>
        <w:t>foregoing being collectively called “</w:t>
      </w:r>
      <w:r>
        <w:rPr>
          <w:rFonts w:ascii="Times New Roman" w:cs="Times New Roman" w:eastAsia="Times New Roman" w:hAnsi="Times New Roman"/>
          <w:sz w:val="19"/>
          <w:szCs w:val="19"/>
          <w:u w:val="single" w:color="auto"/>
          <w:color w:val="auto"/>
        </w:rPr>
        <w:t>Indemnified Amounts</w:t>
      </w:r>
      <w:r>
        <w:rPr>
          <w:rFonts w:ascii="Times New Roman" w:cs="Times New Roman" w:eastAsia="Times New Roman" w:hAnsi="Times New Roman"/>
          <w:sz w:val="19"/>
          <w:szCs w:val="19"/>
          <w:color w:val="auto"/>
        </w:rPr>
        <w:t>”) awarded against or incurred by any of them arising out of or in connection with any Transaction Document, the transactions contemplated thereby, or the ownership, maintenance or funding, directly or indirectly, of the Purchased</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Receivables (or any of them) or otherwise arising out of or resulting from the actions or inactions of any Seller or any of their Affiliates, including as a result of the following:</w:t>
      </w:r>
    </w:p>
    <w:p>
      <w:pPr>
        <w:spacing w:after="0" w:line="143" w:lineRule="exact"/>
        <w:rPr>
          <w:sz w:val="20"/>
          <w:szCs w:val="20"/>
          <w:color w:val="auto"/>
        </w:rPr>
      </w:pPr>
    </w:p>
    <w:p>
      <w:pPr>
        <w:ind w:firstLine="1241"/>
        <w:spacing w:after="0"/>
        <w:tabs>
          <w:tab w:leader="none" w:pos="184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 by any Seller of an interest in any Purchased Receivable to any Person other than Administrative Agent for the benefit of Participating Purchasers;</w:t>
      </w:r>
    </w:p>
    <w:p>
      <w:pPr>
        <w:spacing w:after="0" w:line="156" w:lineRule="exact"/>
        <w:rPr>
          <w:rFonts w:ascii="Times New Roman" w:cs="Times New Roman" w:eastAsia="Times New Roman" w:hAnsi="Times New Roman"/>
          <w:sz w:val="19"/>
          <w:szCs w:val="19"/>
          <w:color w:val="auto"/>
        </w:rPr>
      </w:pPr>
    </w:p>
    <w:p>
      <w:pPr>
        <w:jc w:val="both"/>
        <w:ind w:firstLine="1241"/>
        <w:spacing w:after="0" w:line="226" w:lineRule="auto"/>
        <w:tabs>
          <w:tab w:leader="none" w:pos="1844"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by any Seller under or in connection with any Transaction Document, or any information or report delivered by any Seller which shall have been false, misleading or incorrect in any material respect when made or deemed made;</w:t>
      </w:r>
    </w:p>
    <w:p>
      <w:pPr>
        <w:spacing w:after="0" w:line="156" w:lineRule="exact"/>
        <w:rPr>
          <w:rFonts w:ascii="Times New Roman" w:cs="Times New Roman" w:eastAsia="Times New Roman" w:hAnsi="Times New Roman"/>
          <w:sz w:val="19"/>
          <w:szCs w:val="19"/>
          <w:color w:val="auto"/>
        </w:rPr>
      </w:pPr>
    </w:p>
    <w:p>
      <w:pPr>
        <w:ind w:firstLine="1241"/>
        <w:spacing w:after="0" w:line="233" w:lineRule="auto"/>
        <w:tabs>
          <w:tab w:leader="none" w:pos="184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by any Seller to comply with any applicable law, rule or regulation with respect to any Purchased Receivable, or the nonconformity of any Purchased Receivable or related Contract with any such applicable law, rule or regulation;</w:t>
      </w:r>
    </w:p>
    <w:p>
      <w:pPr>
        <w:spacing w:after="0" w:line="155"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44"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vest and maintain vested in Administrative Agent, for the benefit of Participating Purchasers, an ownership interest and a first-priority perfected security interest (within the meaning of the UCC) in the Purchased Receivables and the proceeds thereof, free and clear of any Lien (other than a Lien in favor of Administrative Agent and inchoate tax Liens), whether existing at the time of the purchase of such Receivables or at any time thereafter;</w:t>
      </w:r>
    </w:p>
    <w:p>
      <w:pPr>
        <w:spacing w:after="0" w:line="158" w:lineRule="exact"/>
        <w:rPr>
          <w:rFonts w:ascii="Times New Roman" w:cs="Times New Roman" w:eastAsia="Times New Roman" w:hAnsi="Times New Roman"/>
          <w:sz w:val="19"/>
          <w:szCs w:val="19"/>
          <w:color w:val="auto"/>
        </w:rPr>
      </w:pPr>
    </w:p>
    <w:p>
      <w:pPr>
        <w:ind w:firstLine="1241"/>
        <w:spacing w:after="0" w:line="233" w:lineRule="auto"/>
        <w:tabs>
          <w:tab w:leader="none" w:pos="184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rendering of a judgment or order by court or arbitrator of competent jurisdiction against a Seller resulting from the failure by such Seller to furnish services with respect to a Purchased Receivable;</w:t>
      </w:r>
    </w:p>
    <w:p>
      <w:pPr>
        <w:spacing w:after="0" w:line="155"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68"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1" w:lineRule="exact"/>
        <w:rPr>
          <w:rFonts w:ascii="Times New Roman" w:cs="Times New Roman" w:eastAsia="Times New Roman" w:hAnsi="Times New Roman"/>
          <w:sz w:val="19"/>
          <w:szCs w:val="19"/>
          <w:color w:val="auto"/>
        </w:rPr>
      </w:pPr>
    </w:p>
    <w:p>
      <w:pPr>
        <w:ind w:firstLine="1241"/>
        <w:spacing w:after="0"/>
        <w:tabs>
          <w:tab w:leader="none" w:pos="1844"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of any Seller to perform in any material respect its covenants, duties or obligations in accordance with the provisions of any Transaction Document;</w:t>
      </w:r>
    </w:p>
    <w:p>
      <w:pPr>
        <w:spacing w:after="0" w:line="143" w:lineRule="exact"/>
        <w:rPr>
          <w:rFonts w:ascii="Times New Roman" w:cs="Times New Roman" w:eastAsia="Times New Roman" w:hAnsi="Times New Roman"/>
          <w:sz w:val="19"/>
          <w:szCs w:val="19"/>
          <w:color w:val="auto"/>
        </w:rPr>
      </w:pPr>
    </w:p>
    <w:p>
      <w:pPr>
        <w:ind w:firstLine="1241"/>
        <w:spacing w:after="0"/>
        <w:tabs>
          <w:tab w:leader="none" w:pos="1854"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suit, demand, claim or other dispute arising directly from any Seller’s failure to comply in any material respect with its obligations with respect to the use of the Platform;</w:t>
      </w:r>
    </w:p>
    <w:p>
      <w:pPr>
        <w:spacing w:after="0" w:line="156"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68"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1"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1" w:lineRule="exact"/>
        <w:rPr>
          <w:rFonts w:ascii="Times New Roman" w:cs="Times New Roman" w:eastAsia="Times New Roman" w:hAnsi="Times New Roman"/>
          <w:sz w:val="19"/>
          <w:szCs w:val="19"/>
          <w:color w:val="auto"/>
        </w:rPr>
      </w:pPr>
    </w:p>
    <w:p>
      <w:pPr>
        <w:jc w:val="both"/>
        <w:ind w:firstLine="1241"/>
        <w:spacing w:after="0" w:line="226" w:lineRule="auto"/>
        <w:tabs>
          <w:tab w:leader="none" w:pos="1845"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civil penalty or fine assessed by any other governmental authority administering any Anti-Corruption Laws or Sanctions, and all reasonable costs and out-of-pocket expenses (including reasonable documented legal fees and disbursements) incurred in connection with</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defense thereof by, any Indemnified Party in connection with the Transaction Documents as a result of any action of any Seller or any of its Affiliates; and</w:t>
      </w:r>
    </w:p>
    <w:p>
      <w:pPr>
        <w:spacing w:after="0" w:line="151" w:lineRule="exact"/>
        <w:rPr>
          <w:sz w:val="20"/>
          <w:szCs w:val="20"/>
          <w:color w:val="auto"/>
        </w:rPr>
      </w:pPr>
    </w:p>
    <w:p>
      <w:pPr>
        <w:ind w:left="1840" w:hanging="599"/>
        <w:spacing w:after="0"/>
        <w:tabs>
          <w:tab w:leader="none" w:pos="18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Sellers to reimburse Administrative Agent or any Purchaser for any Receivables review in accordance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Section 5.1(f).</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i w:val="1"/>
          <w:iCs w:val="1"/>
          <w:color w:val="auto"/>
        </w:rPr>
        <w:t>excluding, however</w:t>
      </w:r>
      <w:r>
        <w:rPr>
          <w:rFonts w:ascii="Times New Roman" w:cs="Times New Roman" w:eastAsia="Times New Roman" w:hAnsi="Times New Roman"/>
          <w:sz w:val="19"/>
          <w:szCs w:val="19"/>
          <w:color w:val="auto"/>
        </w:rPr>
        <w:t>, (i) Indemnified Amounts to the extent solely resulting from gross negligence or willful misconduct on the part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Indemnified Party, or a material breach of the Administrative Agent’s obligations under this Agreement, in each case as determined in a final non-appealable judgment by a court of competent jurisdiction and (ii) any indemnification which has the effect of recourse to Seller for non-payment of the Receivables to the extent solely as a result of an Insolvency Event of an Account Debtor. If for any reason the indemnification provided above is unavailable to an Indemnified Party or is insufficient to hold such Indemnified Party harmless, then Seller shall contribute to the amount paid or payable by such Indemnified Party to the maximum extent permitted under applicable law.</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8.2</w:t>
      </w:r>
      <w:r>
        <w:rPr>
          <w:sz w:val="20"/>
          <w:szCs w:val="20"/>
          <w:color w:val="auto"/>
        </w:rPr>
        <w:tab/>
      </w: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10" w:lineRule="auto"/>
        <w:tabs>
          <w:tab w:leader="none" w:pos="1847"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payable pursuant to or in connection with any Transaction Document (including, but not limited to, payments on the Purchased Receivables from each Account Debtor) will be made free and clear of and without deduction for any present or future taxes, withholdings or other deductions whatsoever and any interest and penalties thereon, except to the extent required by applicable law. If any taxes are required by applicable law to be deducted or withheld from any such payment, then: (w) in the case where Sellers are required to deduct such taxes,</w:t>
      </w:r>
    </w:p>
    <w:p>
      <w:pPr>
        <w:spacing w:after="0" w:line="3" w:lineRule="exact"/>
        <w:rPr>
          <w:rFonts w:ascii="Times New Roman" w:cs="Times New Roman" w:eastAsia="Times New Roman" w:hAnsi="Times New Roman"/>
          <w:sz w:val="19"/>
          <w:szCs w:val="19"/>
          <w:color w:val="auto"/>
        </w:rPr>
      </w:pPr>
    </w:p>
    <w:p>
      <w:pPr>
        <w:ind w:left="300" w:hanging="297"/>
        <w:spacing w:after="0" w:line="212" w:lineRule="auto"/>
        <w:tabs>
          <w:tab w:leader="none" w:pos="3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Sellers shall timely pay such taxes to the applicable taxing authority and (2) Sellers shall send the original or a certified copy of the receipt</w:t>
      </w:r>
    </w:p>
    <w:p>
      <w:pPr>
        <w:spacing w:after="0" w:line="212" w:lineRule="auto"/>
        <w:rPr>
          <w:sz w:val="20"/>
          <w:szCs w:val="20"/>
          <w:color w:val="auto"/>
        </w:rPr>
      </w:pPr>
      <w:r>
        <w:rPr>
          <w:rFonts w:ascii="Times New Roman" w:cs="Times New Roman" w:eastAsia="Times New Roman" w:hAnsi="Times New Roman"/>
          <w:sz w:val="19"/>
          <w:szCs w:val="19"/>
          <w:color w:val="auto"/>
        </w:rPr>
        <w:t>evidencing such tax payment, within thirty (30) days of the payment date, to and as directed by Administrative Agent; (x) in the case where an</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Account Debtor is required to deduct such taxes, Sellers shall immediately notify Administrative Agent upon becoming aware of such taxes having been deducted and shall use reasonable efforts to obtain from the Account Debtor a certified copy of the receipt or other document evidencing</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payment of such taxes and send such receipt or other document to Administrative Agent upon receipt; (y) in either case (w) or (x), Sellers shall pay additional amounts to Administrative Agent such that after the required deductions or withholdings have been made (including deductions or</w:t>
      </w:r>
    </w:p>
    <w:p>
      <w:pPr>
        <w:spacing w:after="0" w:line="213" w:lineRule="auto"/>
        <w:rPr>
          <w:sz w:val="20"/>
          <w:szCs w:val="20"/>
          <w:color w:val="auto"/>
        </w:rPr>
      </w:pPr>
      <w:r>
        <w:rPr>
          <w:rFonts w:ascii="Times New Roman" w:cs="Times New Roman" w:eastAsia="Times New Roman" w:hAnsi="Times New Roman"/>
          <w:sz w:val="19"/>
          <w:szCs w:val="19"/>
          <w:color w:val="auto"/>
        </w:rPr>
        <w:t>withholdings applicable to additional sums payable under this Section 8.2(a)), Administrative Agent, for the benefit of Participating Purchasers,</w:t>
      </w:r>
    </w:p>
    <w:p>
      <w:pPr>
        <w:spacing w:after="0" w:line="205" w:lineRule="auto"/>
        <w:rPr>
          <w:sz w:val="20"/>
          <w:szCs w:val="20"/>
          <w:color w:val="auto"/>
        </w:rPr>
      </w:pPr>
      <w:r>
        <w:rPr>
          <w:rFonts w:ascii="Times New Roman" w:cs="Times New Roman" w:eastAsia="Times New Roman" w:hAnsi="Times New Roman"/>
          <w:sz w:val="19"/>
          <w:szCs w:val="19"/>
          <w:color w:val="auto"/>
        </w:rPr>
        <w:t>shall receive an aggregate net sum equal to the sum it would have received had no deduction or withholding been made, save that no additional amount shall be payable pursuant to this Section 8.2(a) in respect of (i) taxes that are imposed upon Administrative Agent or any Purchaser with</w:t>
      </w:r>
    </w:p>
    <w:p>
      <w:pPr>
        <w:spacing w:after="0" w:line="213" w:lineRule="auto"/>
        <w:rPr>
          <w:sz w:val="20"/>
          <w:szCs w:val="20"/>
          <w:color w:val="auto"/>
        </w:rPr>
      </w:pPr>
      <w:r>
        <w:rPr>
          <w:rFonts w:ascii="Times New Roman" w:cs="Times New Roman" w:eastAsia="Times New Roman" w:hAnsi="Times New Roman"/>
          <w:sz w:val="19"/>
          <w:szCs w:val="19"/>
          <w:color w:val="auto"/>
        </w:rPr>
        <w:t>respect to its overall net income under the laws of the jurisdiction in which Administrative Agent or any such Purchaser is organized or in which</w:t>
      </w:r>
    </w:p>
    <w:p>
      <w:pPr>
        <w:spacing w:after="0" w:line="205" w:lineRule="auto"/>
        <w:rPr>
          <w:sz w:val="20"/>
          <w:szCs w:val="20"/>
          <w:color w:val="auto"/>
        </w:rPr>
      </w:pPr>
      <w:r>
        <w:rPr>
          <w:rFonts w:ascii="Times New Roman" w:cs="Times New Roman" w:eastAsia="Times New Roman" w:hAnsi="Times New Roman"/>
          <w:sz w:val="19"/>
          <w:szCs w:val="19"/>
          <w:color w:val="auto"/>
        </w:rPr>
        <w:t>Administrative Agent or any such Purchaser operates (other than solely by reason of having become a party to or received payments under this Agreement), (ii) taxes that result from Administrative Agent’s or any Purchaser’s failure to comply with subsection (c) and (iii) in the case of a</w:t>
      </w:r>
    </w:p>
    <w:p>
      <w:pPr>
        <w:spacing w:after="0" w:line="213" w:lineRule="auto"/>
        <w:rPr>
          <w:sz w:val="20"/>
          <w:szCs w:val="20"/>
          <w:color w:val="auto"/>
        </w:rPr>
      </w:pPr>
      <w:r>
        <w:rPr>
          <w:rFonts w:ascii="Times New Roman" w:cs="Times New Roman" w:eastAsia="Times New Roman" w:hAnsi="Times New Roman"/>
          <w:sz w:val="19"/>
          <w:szCs w:val="19"/>
          <w:color w:val="auto"/>
        </w:rPr>
        <w:t>Purchaser, U.S. federal withholding Taxes imposed on amounts payable to or for the account of such Purchaser with respect to the transactions</w:t>
      </w:r>
    </w:p>
    <w:p>
      <w:pPr>
        <w:spacing w:after="0" w:line="222" w:lineRule="auto"/>
        <w:rPr>
          <w:sz w:val="20"/>
          <w:szCs w:val="20"/>
          <w:color w:val="auto"/>
        </w:rPr>
      </w:pPr>
      <w:r>
        <w:rPr>
          <w:rFonts w:ascii="Times New Roman" w:cs="Times New Roman" w:eastAsia="Times New Roman" w:hAnsi="Times New Roman"/>
          <w:sz w:val="19"/>
          <w:szCs w:val="19"/>
          <w:color w:val="auto"/>
        </w:rPr>
        <w:t>contemplated hereunder pursuant to a law in effect on the date on which such Purchaser acquires such interest, directly or indirectly, in the Purchased Receivables and (iv) any withholding taxes imposed under FATCA (such Taxes under (i) through (iv), “</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1241"/>
        <w:spacing w:after="0" w:line="217" w:lineRule="auto"/>
        <w:tabs>
          <w:tab w:leader="none" w:pos="184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Sellers shall, jointly and severally, pay, and indemnify and hold Administrative Agent and each Purchaser harmless from and against, any taxes that may at any time be imposed on or paid by Administrative Agent, any Purchaser or any Affiliate of Administrative Agent or any Purchaser imposed solely with respect to the Purchased Receivables in respect of the transactions contemplated hereunder (including any sales, occupational, excise, value added, stamp, gross receipts, personal property, privilege or license taxes, or withholdings and any interest and penalties thereon, but not including Excluded Taxes) and costs, expenses and reasonable counsel fees in defending against the same, whether arising by reason of the acts to be performed by Sellers hereunder or otherwise;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such taxes, withholdings or deductions do not result from Administrative Agent’s or any Purchaser’s failure to comply with subsection (c).</w:t>
      </w:r>
    </w:p>
    <w:p>
      <w:pPr>
        <w:spacing w:after="0" w:line="168" w:lineRule="exact"/>
        <w:rPr>
          <w:sz w:val="20"/>
          <w:szCs w:val="20"/>
          <w:color w:val="auto"/>
        </w:rPr>
      </w:pPr>
    </w:p>
    <w:p>
      <w:pPr>
        <w:jc w:val="both"/>
        <w:ind w:firstLine="1241"/>
        <w:spacing w:after="0" w:line="215" w:lineRule="auto"/>
        <w:tabs>
          <w:tab w:leader="none" w:pos="1847"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Administrative Agent, on behalf of Purchaser, shall timely deliver to Sellers, to the extent it is legally entitled to do so, and in accordance with Administrative Agent’s internal policies and procedures, any certification, identification, information, declaration or other reporting document reasonably requested by Sellers and required by a statute, treaty or regulation of the relevant jurisdiction or any political subdivision thereof or any taxing authority therein as a precondition or requirement to the exemption from, or the reduction in the rate of, deduction or withholding of any taxes;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delivery of such certification, identification, declaration or document (other than IRS Form W-9 or W-8, as applicable) shall not be required if in Administrative Agent’s or any applicable Purchaser’s reasonable judgment the completion, execution or submission of such document would subject Administrative Agent or such Purchaser, as applicable, to any material unreimbursed cost or expense or would materially prejudice the legal or commercial position of Administrative Agent or such Purchaser, as applicable.</w:t>
      </w:r>
    </w:p>
    <w:p>
      <w:pPr>
        <w:spacing w:after="0" w:line="16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8.3</w:t>
      </w:r>
      <w:r>
        <w:rPr>
          <w:sz w:val="20"/>
          <w:szCs w:val="20"/>
          <w:color w:val="auto"/>
        </w:rPr>
        <w:tab/>
      </w:r>
      <w:r>
        <w:rPr>
          <w:rFonts w:ascii="Times New Roman" w:cs="Times New Roman" w:eastAsia="Times New Roman" w:hAnsi="Times New Roman"/>
          <w:sz w:val="18"/>
          <w:szCs w:val="18"/>
          <w:u w:val="single" w:color="auto"/>
          <w:color w:val="auto"/>
        </w:rPr>
        <w:t>Limitation on Claims</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1241"/>
        <w:spacing w:after="0" w:line="222" w:lineRule="auto"/>
        <w:tabs>
          <w:tab w:leader="none" w:pos="1847"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party to this Agreement shall assert, and each party hereby waives, any claim against any other party or any other Indemnified Party, on any theory of liability for special, indirect, exemplary, consequential or punitive damages (as opposed to direct or actual damages) arising out of, in connection with, or as a result of, any of the Transaction Documents or any undertaking or transaction contemplated thereby.</w:t>
      </w:r>
    </w:p>
    <w:p>
      <w:pPr>
        <w:spacing w:after="0" w:line="158" w:lineRule="exact"/>
        <w:rPr>
          <w:rFonts w:ascii="Times New Roman" w:cs="Times New Roman" w:eastAsia="Times New Roman" w:hAnsi="Times New Roman"/>
          <w:sz w:val="19"/>
          <w:szCs w:val="19"/>
          <w:color w:val="auto"/>
        </w:rPr>
      </w:pPr>
    </w:p>
    <w:p>
      <w:pPr>
        <w:ind w:firstLine="1241"/>
        <w:spacing w:after="0"/>
        <w:tabs>
          <w:tab w:leader="none" w:pos="184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and each Purchaser shall be entitled to rely upon and use information it believes in good faith it has received from Sellers or their Affiliates by Posting or otherwise without further investigation or confirmation.</w:t>
      </w:r>
    </w:p>
    <w:p>
      <w:pPr>
        <w:spacing w:after="0" w:line="143" w:lineRule="exact"/>
        <w:rPr>
          <w:rFonts w:ascii="Times New Roman" w:cs="Times New Roman" w:eastAsia="Times New Roman" w:hAnsi="Times New Roman"/>
          <w:sz w:val="19"/>
          <w:szCs w:val="19"/>
          <w:color w:val="auto"/>
        </w:rPr>
      </w:pPr>
    </w:p>
    <w:p>
      <w:pPr>
        <w:ind w:firstLine="1241"/>
        <w:spacing w:after="0"/>
        <w:tabs>
          <w:tab w:leader="none" w:pos="1847"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amounts due under this Section 8 shall be payable within 10 Business Days of written demand. The indemnity set forth above shall survive the termination of this Agreement.</w:t>
      </w:r>
    </w:p>
    <w:p>
      <w:pPr>
        <w:spacing w:after="0" w:line="1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9.</w:t>
      </w:r>
      <w:r>
        <w:rPr>
          <w:sz w:val="20"/>
          <w:szCs w:val="20"/>
          <w:color w:val="auto"/>
        </w:rPr>
        <w:tab/>
      </w: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8"/>
          <w:szCs w:val="18"/>
          <w:b w:val="1"/>
          <w:bCs w:val="1"/>
          <w:u w:val="single" w:color="auto"/>
          <w:color w:val="auto"/>
        </w:rPr>
        <w:t>Appointment and Authorization</w:t>
      </w:r>
      <w:r>
        <w:rPr>
          <w:rFonts w:ascii="Times New Roman" w:cs="Times New Roman" w:eastAsia="Times New Roman" w:hAnsi="Times New Roman"/>
          <w:sz w:val="18"/>
          <w:szCs w:val="18"/>
          <w:u w:val="single" w:color="auto"/>
          <w:color w:val="auto"/>
        </w:rPr>
        <w:t>.</w:t>
      </w:r>
    </w:p>
    <w:p>
      <w:pPr>
        <w:spacing w:after="0" w:line="185" w:lineRule="exact"/>
        <w:rPr>
          <w:sz w:val="20"/>
          <w:szCs w:val="20"/>
          <w:color w:val="auto"/>
        </w:rPr>
      </w:pPr>
    </w:p>
    <w:p>
      <w:pPr>
        <w:jc w:val="both"/>
        <w:ind w:firstLine="1241"/>
        <w:spacing w:after="0" w:line="213" w:lineRule="auto"/>
        <w:tabs>
          <w:tab w:leader="none" w:pos="1847"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Purchaser hereby irrevocably designates and appoints as the “Administrative Agent” hereunder and authorizes the Administrative Agent to take such actions and to exercise such powers as are delegated to the Administrative Agent hereby and to exercise such other powers as are reasonably incidental thereto. The Administrative Agent shall hold, in its name, for the benefit of each Participating Purchaser, the Pro Rata Share of each Purchased Receivable of such Participating Purchaser. The Administrative Agent shall not have any duties other than those expressly set forth herein or any fiduciary relationship with any Participating Purchaser, and no implied obligations or liabilities shall be read into this Agreement, or otherwise exist, against the Administrative Agent. The Administrative Agent does not assume, nor shall it be deemed to have assumed, any obligation to, or relationship of trust or agency with, any Participating Purchaser or a Seller. Notwithstanding any provision hereof or any other Transaction Document, in no event shall the Administrative Agent ever be required to take any action which exposes the Administrative Agent to personal liability or which is contrary to the provision of any Transaction Document or applicable Law.</w:t>
      </w:r>
    </w:p>
    <w:p>
      <w:pPr>
        <w:spacing w:after="0" w:line="162" w:lineRule="exact"/>
        <w:rPr>
          <w:rFonts w:ascii="Times New Roman" w:cs="Times New Roman" w:eastAsia="Times New Roman" w:hAnsi="Times New Roman"/>
          <w:sz w:val="19"/>
          <w:szCs w:val="19"/>
          <w:color w:val="auto"/>
        </w:rPr>
      </w:pPr>
    </w:p>
    <w:p>
      <w:pPr>
        <w:jc w:val="both"/>
        <w:ind w:firstLine="1241"/>
        <w:spacing w:after="0" w:line="222" w:lineRule="auto"/>
        <w:tabs>
          <w:tab w:leader="none" w:pos="184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specifically provided in this Agreement, the provisions of this Section 9.1 are solely for the benefit of the Administrative Agent and the Purchasers, and the Seller shall not have any rights as a third-party beneficiary or otherwise under any of the provisions of this Section 9.1, except that this Section 9.1 shall not affect any obligations which the Administrative Agent or the Purchasers may have to the Seller under the other provisions hereof.</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1241"/>
        <w:spacing w:after="0" w:line="226" w:lineRule="auto"/>
        <w:tabs>
          <w:tab w:leader="none" w:pos="1847"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performing its functions and duties hereunder, the Administrative Agent shall act solely as the agent of the Purchasers and does not assume nor shall be deemed to have assumed any obligation or relationship of trust or agency with or for the Seller or any of its successors and assigns.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b w:val="1"/>
          <w:bCs w:val="1"/>
          <w:color w:val="auto"/>
        </w:rPr>
        <w:t>Delegation of Duties</w:t>
      </w:r>
      <w:r>
        <w:rPr>
          <w:rFonts w:ascii="Times New Roman" w:cs="Times New Roman" w:eastAsia="Times New Roman" w:hAnsi="Times New Roman"/>
          <w:sz w:val="19"/>
          <w:szCs w:val="19"/>
          <w:color w:val="auto"/>
        </w:rPr>
        <w:t>. The Administrative Agent may execute any of its duties through agents or attorneys-in-fact and shall be entitled to advice of counsel concerning all matters pertaining to such duties. The Administrative Agent shall not be responsible to any Purchaser for the negligence or misconduct of any agents or attorneys-in-fact selected by it with reasonable care.</w:t>
      </w:r>
    </w:p>
    <w:p>
      <w:pPr>
        <w:spacing w:after="0" w:line="169"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b w:val="1"/>
          <w:bCs w:val="1"/>
          <w:color w:val="auto"/>
        </w:rPr>
        <w:t>Exculpatory Provisions</w:t>
      </w:r>
      <w:r>
        <w:rPr>
          <w:rFonts w:ascii="Times New Roman" w:cs="Times New Roman" w:eastAsia="Times New Roman" w:hAnsi="Times New Roman"/>
          <w:sz w:val="19"/>
          <w:szCs w:val="19"/>
          <w:color w:val="auto"/>
        </w:rPr>
        <w:t>. None of the Administrative Agent or any of its directors, officers, agents or employees shall be liable for any action taken or omitted (a) with the consent or at the direction of the Purchasers or (b) in the absence of such Person’s gross negligence or</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9"/>
          <w:szCs w:val="19"/>
          <w:color w:val="auto"/>
        </w:rPr>
        <w:t>willful misconduct. The Administrative Agent shall not be responsible to any Purchaser or other Person for (i) any recitals, representations, warranties or other statements made by the Seller or any of their Affiliates, (ii) the value, validity, effectiveness, genuineness, enforceability or</w:t>
      </w:r>
    </w:p>
    <w:p>
      <w:pPr>
        <w:spacing w:after="0" w:line="213" w:lineRule="auto"/>
        <w:rPr>
          <w:sz w:val="20"/>
          <w:szCs w:val="20"/>
          <w:color w:val="auto"/>
        </w:rPr>
      </w:pPr>
      <w:r>
        <w:rPr>
          <w:rFonts w:ascii="Times New Roman" w:cs="Times New Roman" w:eastAsia="Times New Roman" w:hAnsi="Times New Roman"/>
          <w:sz w:val="19"/>
          <w:szCs w:val="19"/>
          <w:color w:val="auto"/>
        </w:rPr>
        <w:t>sufficiency of any Transaction Document, or (iii) any failure of the Seller or any of their Affiliates to perform any obligation. The Administrative</w:t>
      </w:r>
    </w:p>
    <w:p>
      <w:pPr>
        <w:jc w:val="both"/>
        <w:spacing w:after="0" w:line="222" w:lineRule="auto"/>
        <w:rPr>
          <w:sz w:val="20"/>
          <w:szCs w:val="20"/>
          <w:color w:val="auto"/>
        </w:rPr>
      </w:pPr>
      <w:r>
        <w:rPr>
          <w:rFonts w:ascii="Times New Roman" w:cs="Times New Roman" w:eastAsia="Times New Roman" w:hAnsi="Times New Roman"/>
          <w:sz w:val="19"/>
          <w:szCs w:val="19"/>
          <w:color w:val="auto"/>
        </w:rPr>
        <w:t>Agent shall not have any obligation to any Purchaser to ascertain or inquire about the observance or performance of any agreement contained in any Transaction Document or to inspect the properties, books or records of the Seller or any of its Affiliates.</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9.3</w:t>
      </w:r>
      <w:r>
        <w:rPr>
          <w:sz w:val="20"/>
          <w:szCs w:val="20"/>
          <w:color w:val="auto"/>
        </w:rPr>
        <w:tab/>
      </w:r>
      <w:r>
        <w:rPr>
          <w:rFonts w:ascii="Times New Roman" w:cs="Times New Roman" w:eastAsia="Times New Roman" w:hAnsi="Times New Roman"/>
          <w:sz w:val="18"/>
          <w:szCs w:val="18"/>
          <w:b w:val="1"/>
          <w:bCs w:val="1"/>
          <w:color w:val="auto"/>
        </w:rPr>
        <w:t>Reliance by the Administrative Agent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22"/>
        <w:spacing w:after="0" w:line="217" w:lineRule="auto"/>
        <w:tabs>
          <w:tab w:leader="none" w:pos="1228"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in all cases be entitled to rely, and shall be fully protected in relying, upon any document, other writing or conversation believed by it to be genuine and correct and to have been signed, sent or made by the proper Person and upon advice and statements of legal counsel, independent accountants and other experts selected by the Administrative Agent. The Administrative Agent shall in all cases be fully justified in failing or refusing to take any action under any Transaction Document unless it shall first receive such advice or concurrence of the Required Participants, and assurance of its indemnification, as it deems appropriate.</w:t>
      </w:r>
    </w:p>
    <w:p>
      <w:pPr>
        <w:spacing w:after="0" w:line="172" w:lineRule="exact"/>
        <w:rPr>
          <w:rFonts w:ascii="Times New Roman" w:cs="Times New Roman" w:eastAsia="Times New Roman" w:hAnsi="Times New Roman"/>
          <w:sz w:val="19"/>
          <w:szCs w:val="19"/>
          <w:color w:val="auto"/>
        </w:rPr>
      </w:pPr>
    </w:p>
    <w:p>
      <w:pPr>
        <w:ind w:left="1020" w:hanging="398"/>
        <w:spacing w:after="0"/>
        <w:tabs>
          <w:tab w:leader="none" w:pos="102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in all cases be fully protected in acting, or</w:t>
      </w:r>
    </w:p>
    <w:p>
      <w:pPr>
        <w:spacing w:after="0" w:line="2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9"/>
          <w:szCs w:val="19"/>
          <w:color w:val="auto"/>
        </w:rPr>
        <w:t>in refraining from acting, under this Agreement in accordance with a request of the Purchasers, and such request and any action taken or failure to act pursuant thereto shall be binding upon all Purchasers and the Administrative Agent.</w:t>
      </w:r>
    </w:p>
    <w:p>
      <w:pPr>
        <w:spacing w:after="0" w:line="164" w:lineRule="exact"/>
        <w:rPr>
          <w:sz w:val="20"/>
          <w:szCs w:val="20"/>
          <w:color w:val="auto"/>
        </w:rPr>
      </w:pPr>
    </w:p>
    <w:p>
      <w:pPr>
        <w:ind w:firstLine="619"/>
        <w:spacing w:after="0" w:line="218"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b w:val="1"/>
          <w:bCs w:val="1"/>
          <w:color w:val="auto"/>
        </w:rPr>
        <w:t>Actions by Administrative Agent</w:t>
      </w:r>
      <w:r>
        <w:rPr>
          <w:rFonts w:ascii="Times New Roman" w:cs="Times New Roman" w:eastAsia="Times New Roman" w:hAnsi="Times New Roman"/>
          <w:sz w:val="19"/>
          <w:szCs w:val="19"/>
          <w:color w:val="auto"/>
        </w:rPr>
        <w:t>. The Administrative Agent shall take such actions, or refrain from taking such actions, under each of the Transaction Documents with respect to the rights and remedies of Purchasers, including with respect to any Purchased Receivable, in</w:t>
      </w:r>
    </w:p>
    <w:p>
      <w:pPr>
        <w:spacing w:after="0" w:line="213" w:lineRule="auto"/>
        <w:rPr>
          <w:sz w:val="20"/>
          <w:szCs w:val="20"/>
          <w:color w:val="auto"/>
        </w:rPr>
      </w:pPr>
      <w:r>
        <w:rPr>
          <w:rFonts w:ascii="Times New Roman" w:cs="Times New Roman" w:eastAsia="Times New Roman" w:hAnsi="Times New Roman"/>
          <w:sz w:val="19"/>
          <w:szCs w:val="19"/>
          <w:color w:val="auto"/>
        </w:rPr>
        <w:t>each case as may be directed by the Required Purchasers; provided, until the Administrative Agent receives such directions, the Administrative</w:t>
      </w:r>
    </w:p>
    <w:p>
      <w:pPr>
        <w:spacing w:after="0" w:line="222" w:lineRule="auto"/>
        <w:rPr>
          <w:sz w:val="20"/>
          <w:szCs w:val="20"/>
          <w:color w:val="auto"/>
        </w:rPr>
      </w:pPr>
      <w:r>
        <w:rPr>
          <w:rFonts w:ascii="Times New Roman" w:cs="Times New Roman" w:eastAsia="Times New Roman" w:hAnsi="Times New Roman"/>
          <w:sz w:val="19"/>
          <w:szCs w:val="19"/>
          <w:color w:val="auto"/>
        </w:rPr>
        <w:t>Agent may (but shall not be obligated to) take such action, or refrain from taking such action, as Administrative Agent deems advisable and in the best interests of the Purchasers.</w:t>
      </w:r>
    </w:p>
    <w:p>
      <w:pPr>
        <w:spacing w:after="0" w:line="1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9.5</w:t>
      </w:r>
      <w:r>
        <w:rPr>
          <w:sz w:val="20"/>
          <w:szCs w:val="20"/>
          <w:color w:val="auto"/>
        </w:rPr>
        <w:tab/>
      </w:r>
      <w:r>
        <w:rPr>
          <w:rFonts w:ascii="Times New Roman" w:cs="Times New Roman" w:eastAsia="Times New Roman" w:hAnsi="Times New Roman"/>
          <w:sz w:val="19"/>
          <w:szCs w:val="19"/>
          <w:b w:val="1"/>
          <w:bCs w:val="1"/>
          <w:color w:val="auto"/>
        </w:rPr>
        <w:t>Non-Reliance on the Administrative Agent and Other Purchasers</w:t>
      </w:r>
      <w:r>
        <w:rPr>
          <w:rFonts w:ascii="Times New Roman" w:cs="Times New Roman" w:eastAsia="Times New Roman" w:hAnsi="Times New Roman"/>
          <w:sz w:val="19"/>
          <w:szCs w:val="19"/>
          <w:color w:val="auto"/>
        </w:rPr>
        <w:t>. Each Purchaser expressly acknowledges that none of the</w:t>
      </w:r>
    </w:p>
    <w:p>
      <w:pPr>
        <w:spacing w:after="0" w:line="205" w:lineRule="auto"/>
        <w:rPr>
          <w:sz w:val="20"/>
          <w:szCs w:val="20"/>
          <w:color w:val="auto"/>
        </w:rPr>
      </w:pPr>
      <w:r>
        <w:rPr>
          <w:rFonts w:ascii="Times New Roman" w:cs="Times New Roman" w:eastAsia="Times New Roman" w:hAnsi="Times New Roman"/>
          <w:sz w:val="19"/>
          <w:szCs w:val="19"/>
          <w:color w:val="auto"/>
        </w:rPr>
        <w:t>Administrative Agent nor any of its officers, directors, employees, agents, attorneys-in-fact or Affiliates has made any representations or warranties to it and that no act by the Administrative Agent hereafter taken, including any review of the affairs of the Seller, shall be deemed to constitute any</w:t>
      </w:r>
    </w:p>
    <w:p>
      <w:pPr>
        <w:spacing w:after="0" w:line="213" w:lineRule="auto"/>
        <w:rPr>
          <w:sz w:val="20"/>
          <w:szCs w:val="20"/>
          <w:color w:val="auto"/>
        </w:rPr>
      </w:pPr>
      <w:r>
        <w:rPr>
          <w:rFonts w:ascii="Times New Roman" w:cs="Times New Roman" w:eastAsia="Times New Roman" w:hAnsi="Times New Roman"/>
          <w:sz w:val="19"/>
          <w:szCs w:val="19"/>
          <w:color w:val="auto"/>
        </w:rPr>
        <w:t>representation or warranty by the Administrative Agent. Each Purchaser represents and warrants to the Administrative Agent that, independently</w:t>
      </w:r>
    </w:p>
    <w:p>
      <w:pPr>
        <w:spacing w:after="0" w:line="205" w:lineRule="auto"/>
        <w:rPr>
          <w:sz w:val="20"/>
          <w:szCs w:val="20"/>
          <w:color w:val="auto"/>
        </w:rPr>
      </w:pPr>
      <w:r>
        <w:rPr>
          <w:rFonts w:ascii="Times New Roman" w:cs="Times New Roman" w:eastAsia="Times New Roman" w:hAnsi="Times New Roman"/>
          <w:sz w:val="19"/>
          <w:szCs w:val="19"/>
          <w:color w:val="auto"/>
        </w:rPr>
        <w:t>and without reliance upon the Administrative Agent or any other Purchaser and based on such documents and information as it has deemed appropriate, it has made and will continue to make its own appraisal of an investigation into the business, operations, property, prospects, financial</w:t>
      </w:r>
    </w:p>
    <w:p>
      <w:pPr>
        <w:spacing w:after="0" w:line="224" w:lineRule="auto"/>
        <w:rPr>
          <w:sz w:val="20"/>
          <w:szCs w:val="20"/>
          <w:color w:val="auto"/>
        </w:rPr>
      </w:pPr>
      <w:r>
        <w:rPr>
          <w:rFonts w:ascii="Times New Roman" w:cs="Times New Roman" w:eastAsia="Times New Roman" w:hAnsi="Times New Roman"/>
          <w:sz w:val="18"/>
          <w:szCs w:val="18"/>
          <w:color w:val="auto"/>
        </w:rPr>
        <w:t>and other conditions and creditworthiness of the Seller and the Purchased Receivables and its own decision to enter into this Agreement and to take,</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or omit, action under any Transaction Document. Except for items specifically required to be delivered hereunder, the Administrative Agent shall not have any duty or responsibility to provide any Purchaser with any</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information concerning the Seller or any of its Affiliates that comes into the possession of the Administrative Agent or any of its officers, directors, employees, agents, attorneys-in-fact or Affiliates.</w:t>
      </w:r>
    </w:p>
    <w:p>
      <w:pPr>
        <w:spacing w:after="0" w:line="1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9.6</w:t>
      </w:r>
      <w:r>
        <w:rPr>
          <w:sz w:val="20"/>
          <w:szCs w:val="20"/>
          <w:color w:val="auto"/>
        </w:rPr>
        <w:tab/>
      </w:r>
      <w:r>
        <w:rPr>
          <w:rFonts w:ascii="Times New Roman" w:cs="Times New Roman" w:eastAsia="Times New Roman" w:hAnsi="Times New Roman"/>
          <w:sz w:val="19"/>
          <w:szCs w:val="19"/>
          <w:b w:val="1"/>
          <w:bCs w:val="1"/>
          <w:color w:val="auto"/>
        </w:rPr>
        <w:t>Administrative Agent and Affiliates</w:t>
      </w:r>
      <w:r>
        <w:rPr>
          <w:rFonts w:ascii="Times New Roman" w:cs="Times New Roman" w:eastAsia="Times New Roman" w:hAnsi="Times New Roman"/>
          <w:sz w:val="19"/>
          <w:szCs w:val="19"/>
          <w:color w:val="auto"/>
        </w:rPr>
        <w:t>. Each of the Purchasers and the Administrative Agent and their respective Affiliates may</w:t>
      </w:r>
    </w:p>
    <w:p>
      <w:pPr>
        <w:spacing w:after="0" w:line="205" w:lineRule="auto"/>
        <w:rPr>
          <w:sz w:val="20"/>
          <w:szCs w:val="20"/>
          <w:color w:val="auto"/>
        </w:rPr>
      </w:pPr>
      <w:r>
        <w:rPr>
          <w:rFonts w:ascii="Times New Roman" w:cs="Times New Roman" w:eastAsia="Times New Roman" w:hAnsi="Times New Roman"/>
          <w:sz w:val="19"/>
          <w:szCs w:val="19"/>
          <w:color w:val="auto"/>
        </w:rPr>
        <w:t>extend credit to, accept deposits from and generally engage in any kind of banking, trust, debt, entity or other business with the Sellers or any of their Affiliates and may exercise or refrain from exercising its rights and powers as if it were not the Administrative Agent. With respect to the</w:t>
      </w:r>
    </w:p>
    <w:p>
      <w:pPr>
        <w:spacing w:after="0" w:line="224" w:lineRule="auto"/>
        <w:rPr>
          <w:sz w:val="20"/>
          <w:szCs w:val="20"/>
          <w:color w:val="auto"/>
        </w:rPr>
      </w:pPr>
      <w:r>
        <w:rPr>
          <w:rFonts w:ascii="Times New Roman" w:cs="Times New Roman" w:eastAsia="Times New Roman" w:hAnsi="Times New Roman"/>
          <w:sz w:val="18"/>
          <w:szCs w:val="18"/>
          <w:color w:val="auto"/>
        </w:rPr>
        <w:t>purchase of the Receivables pursuant to this Agreement, the Administrative Agent, in its capacity as a Purchaser and a Participating Purchaser, shall</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have the same rights and powers under this Agreement as any other Purchaser and Participating Purchaser and may exercise the same as though it were not such an agent, and the terms “Purchaser” and “Participating Purchaser” shall include the Administrative Agent in its capacity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Purchaser and Participating Purchaser.</w:t>
      </w:r>
    </w:p>
    <w:p>
      <w:pPr>
        <w:spacing w:after="0" w:line="157" w:lineRule="exact"/>
        <w:rPr>
          <w:sz w:val="20"/>
          <w:szCs w:val="20"/>
          <w:color w:val="auto"/>
        </w:rPr>
      </w:pPr>
    </w:p>
    <w:p>
      <w:pPr>
        <w:ind w:firstLine="619"/>
        <w:spacing w:after="0" w:line="218" w:lineRule="auto"/>
        <w:rPr>
          <w:sz w:val="20"/>
          <w:szCs w:val="20"/>
          <w:color w:val="auto"/>
        </w:rPr>
      </w:pPr>
      <w:r>
        <w:rPr>
          <w:rFonts w:ascii="Times New Roman" w:cs="Times New Roman" w:eastAsia="Times New Roman" w:hAnsi="Times New Roman"/>
          <w:sz w:val="19"/>
          <w:szCs w:val="19"/>
          <w:color w:val="auto"/>
        </w:rPr>
        <w:t xml:space="preserve">9.7 </w:t>
      </w:r>
      <w:r>
        <w:rPr>
          <w:rFonts w:ascii="Times New Roman" w:cs="Times New Roman" w:eastAsia="Times New Roman" w:hAnsi="Times New Roman"/>
          <w:sz w:val="19"/>
          <w:szCs w:val="19"/>
          <w:b w:val="1"/>
          <w:bCs w:val="1"/>
          <w:color w:val="auto"/>
        </w:rPr>
        <w:t>Successor Administrative Agent</w:t>
      </w:r>
      <w:r>
        <w:rPr>
          <w:rFonts w:ascii="Times New Roman" w:cs="Times New Roman" w:eastAsia="Times New Roman" w:hAnsi="Times New Roman"/>
          <w:sz w:val="19"/>
          <w:szCs w:val="19"/>
          <w:color w:val="auto"/>
        </w:rPr>
        <w:t>. The Administrative Agent may, upon at least forty-five (45) days’ notice to the Seller and each Purchaser, resign as Administrative Agent. If the Person serving as Administrative Agent is subject to an Insolvency Event, the Purchasers</w:t>
      </w:r>
    </w:p>
    <w:p>
      <w:pPr>
        <w:spacing w:after="0" w:line="213" w:lineRule="auto"/>
        <w:rPr>
          <w:sz w:val="20"/>
          <w:szCs w:val="20"/>
          <w:color w:val="auto"/>
        </w:rPr>
      </w:pPr>
      <w:r>
        <w:rPr>
          <w:rFonts w:ascii="Times New Roman" w:cs="Times New Roman" w:eastAsia="Times New Roman" w:hAnsi="Times New Roman"/>
          <w:sz w:val="19"/>
          <w:szCs w:val="19"/>
          <w:color w:val="auto"/>
        </w:rPr>
        <w:t>(excluding the Purchaser that is also the Administrative Agent at such time, if applicable) may, to the extent permitted by applicable law, by notice</w:t>
      </w:r>
    </w:p>
    <w:p>
      <w:pPr>
        <w:jc w:val="both"/>
        <w:spacing w:after="0" w:line="205" w:lineRule="auto"/>
        <w:rPr>
          <w:sz w:val="20"/>
          <w:szCs w:val="20"/>
          <w:color w:val="auto"/>
        </w:rPr>
      </w:pPr>
      <w:r>
        <w:rPr>
          <w:rFonts w:ascii="Times New Roman" w:cs="Times New Roman" w:eastAsia="Times New Roman" w:hAnsi="Times New Roman"/>
          <w:sz w:val="19"/>
          <w:szCs w:val="19"/>
          <w:color w:val="auto"/>
        </w:rPr>
        <w:t>in writing to the Sellers and such Person remove such Person as Administrative Agent. Any resignation or removal, as the case may be, shall not become effective until a successor agent is appointed by the Purchasers (excluding the Purchaser that is also the Administrative Agent at such time,</w:t>
      </w:r>
    </w:p>
    <w:p>
      <w:pPr>
        <w:spacing w:after="0" w:line="213" w:lineRule="auto"/>
        <w:rPr>
          <w:sz w:val="20"/>
          <w:szCs w:val="20"/>
          <w:color w:val="auto"/>
        </w:rPr>
      </w:pPr>
      <w:r>
        <w:rPr>
          <w:rFonts w:ascii="Times New Roman" w:cs="Times New Roman" w:eastAsia="Times New Roman" w:hAnsi="Times New Roman"/>
          <w:sz w:val="19"/>
          <w:szCs w:val="19"/>
          <w:color w:val="auto"/>
        </w:rPr>
        <w:t>if applicable), but with the consent of the Sellers (provided, such consent shall not be unreasonably withheld, delayed or conditioned), and has</w:t>
      </w:r>
    </w:p>
    <w:p>
      <w:pPr>
        <w:jc w:val="both"/>
        <w:spacing w:after="0" w:line="205" w:lineRule="auto"/>
        <w:rPr>
          <w:sz w:val="20"/>
          <w:szCs w:val="20"/>
          <w:color w:val="auto"/>
        </w:rPr>
      </w:pPr>
      <w:r>
        <w:rPr>
          <w:rFonts w:ascii="Times New Roman" w:cs="Times New Roman" w:eastAsia="Times New Roman" w:hAnsi="Times New Roman"/>
          <w:sz w:val="19"/>
          <w:szCs w:val="19"/>
          <w:color w:val="auto"/>
        </w:rPr>
        <w:t>accepted such appointment. Upon such acceptance of its appointment as Administrative Agent hereunder by a successor Administrative Agent, such successor Administrative Agent shall succeed to and become vested with all the rights and duties of the retiring or removed, as applicable,</w:t>
      </w:r>
    </w:p>
    <w:p>
      <w:pPr>
        <w:spacing w:after="0" w:line="213" w:lineRule="auto"/>
        <w:rPr>
          <w:sz w:val="20"/>
          <w:szCs w:val="20"/>
          <w:color w:val="auto"/>
        </w:rPr>
      </w:pPr>
      <w:r>
        <w:rPr>
          <w:rFonts w:ascii="Times New Roman" w:cs="Times New Roman" w:eastAsia="Times New Roman" w:hAnsi="Times New Roman"/>
          <w:sz w:val="19"/>
          <w:szCs w:val="19"/>
          <w:color w:val="auto"/>
        </w:rPr>
        <w:t>Administrative Agent, and the retiring or removed, as applicable, the Administrative Agent shall be discharged from its duties and obligations as</w:t>
      </w:r>
    </w:p>
    <w:p>
      <w:pPr>
        <w:spacing w:after="0" w:line="205" w:lineRule="auto"/>
        <w:rPr>
          <w:sz w:val="20"/>
          <w:szCs w:val="20"/>
          <w:color w:val="auto"/>
        </w:rPr>
      </w:pPr>
      <w:r>
        <w:rPr>
          <w:rFonts w:ascii="Times New Roman" w:cs="Times New Roman" w:eastAsia="Times New Roman" w:hAnsi="Times New Roman"/>
          <w:sz w:val="19"/>
          <w:szCs w:val="19"/>
          <w:color w:val="auto"/>
        </w:rPr>
        <w:t>Administrative Agent under the Transaction Documents. After any retiring or removed, as applicable, Administrative Agent’s resignation or removal, as applicable, hereunder, the provisions of Section 9 and this Section 10 shall inure to its benefit as to any actions taken or omitted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taken by it while it was Administrative Agent.</w:t>
      </w:r>
    </w:p>
    <w:p>
      <w:pPr>
        <w:spacing w:after="0" w:line="15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10.</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p>
    <w:p>
      <w:pPr>
        <w:spacing w:after="0" w:line="172"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xml:space="preserve">. Without limiting the provisions of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the provisions of this Agreement may from time to time be amended, modified or waived, if such amendment, modification or waiver is in writing and signed by Administrative Agent, each Purchaser and Sellers.</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17" w:lineRule="auto"/>
        <w:tabs>
          <w:tab w:leader="none" w:pos="1847"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required hereunder to be conducted through the Platform, communications with respect to the sale and purchase of Receivables and reconciliation of Collections shall be conducted through the Platform. All other communications or notices required under this Agreement shall be in writing (which includes an electronic writing), shall be deemed to have been given and received (i) when delivered personally to the recipient, (ii) when delivered, if sent by nationally recognized overnight courier service with instructions to deliver the next Business Day with signature required, or (iii) on the date received if before 5:00 p.m. Eastern time after being sent to the recipient by email, or, if after 5:00 p.m. Eastern time, the next Business Day.</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If to Sellers: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37" w:lineRule="exact"/>
        <w:rPr>
          <w:sz w:val="20"/>
          <w:szCs w:val="20"/>
          <w:color w:val="auto"/>
        </w:rPr>
      </w:pPr>
    </w:p>
    <w:p>
      <w:pPr>
        <w:sectPr>
          <w:pgSz w:w="11900" w:h="16838" w:orient="portrait"/>
          <w:cols w:equalWidth="0" w:num="2">
            <w:col w:w="4700" w:space="720"/>
            <w:col w:w="5820"/>
          </w:cols>
          <w:pgMar w:left="320" w:top="1440" w:right="339" w:bottom="1440" w:gutter="0" w:footer="0" w:header="0"/>
        </w:sectPr>
      </w:pPr>
    </w:p>
    <w:p>
      <w:pPr>
        <w:ind w:left="5420"/>
        <w:spacing w:after="0"/>
        <w:rPr>
          <w:sz w:val="20"/>
          <w:szCs w:val="20"/>
          <w:color w:val="auto"/>
        </w:rPr>
      </w:pPr>
      <w:r>
        <w:rPr>
          <w:rFonts w:ascii="Times New Roman" w:cs="Times New Roman" w:eastAsia="Times New Roman" w:hAnsi="Times New Roman"/>
          <w:sz w:val="19"/>
          <w:szCs w:val="19"/>
          <w:color w:val="auto"/>
        </w:rPr>
        <w:t>110 West 44</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Street</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New York, NY 10036</w:t>
      </w:r>
    </w:p>
    <w:p>
      <w:pPr>
        <w:spacing w:after="0" w:line="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Telephone No. [***]</w:t>
      </w:r>
    </w:p>
    <w:p>
      <w:pPr>
        <w:sectPr>
          <w:pgSz w:w="11900" w:h="16838" w:orient="portrait"/>
          <w:cols w:equalWidth="0" w:num="1">
            <w:col w:w="11240"/>
          </w:cols>
          <w:pgMar w:left="320" w:top="1440" w:right="339" w:bottom="1440" w:gutter="0" w:footer="0" w:header="0"/>
          <w:type w:val="continuous"/>
        </w:sectPr>
      </w:pPr>
    </w:p>
    <w:p>
      <w:pPr>
        <w:spacing w:after="0" w:line="2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If to Administrative Agent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37" w:lineRule="exact"/>
        <w:rPr>
          <w:sz w:val="20"/>
          <w:szCs w:val="20"/>
          <w:color w:val="auto"/>
        </w:rPr>
      </w:pPr>
    </w:p>
    <w:p>
      <w:pPr>
        <w:sectPr>
          <w:pgSz w:w="11900" w:h="16838" w:orient="portrait"/>
          <w:cols w:equalWidth="0" w:num="2">
            <w:col w:w="4720" w:space="720"/>
            <w:col w:w="5800"/>
          </w:cols>
          <w:pgMar w:left="320" w:top="1440"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for each Purchaser:</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18"/>
          <w:szCs w:val="18"/>
          <w:color w:val="auto"/>
        </w:rPr>
        <w:t>Global Receivables and Trade Finance</w:t>
      </w:r>
    </w:p>
    <w:p>
      <w:pPr>
        <w:spacing w:after="0" w:line="12" w:lineRule="exact"/>
        <w:rPr>
          <w:sz w:val="20"/>
          <w:szCs w:val="20"/>
          <w:color w:val="auto"/>
        </w:rPr>
      </w:pPr>
    </w:p>
    <w:p>
      <w:pPr>
        <w:sectPr>
          <w:pgSz w:w="11900" w:h="16838" w:orient="portrait"/>
          <w:cols w:equalWidth="0" w:num="2">
            <w:col w:w="4720" w:space="720"/>
            <w:col w:w="5800"/>
          </w:cols>
          <w:pgMar w:left="320" w:top="1440" w:right="339" w:bottom="1440" w:gutter="0" w:footer="0" w:header="0"/>
          <w:type w:val="continuous"/>
        </w:sectPr>
      </w:pPr>
    </w:p>
    <w:p>
      <w:pPr>
        <w:ind w:left="5440"/>
        <w:spacing w:after="0"/>
        <w:rPr>
          <w:sz w:val="20"/>
          <w:szCs w:val="20"/>
          <w:color w:val="auto"/>
        </w:rPr>
      </w:pPr>
      <w:r>
        <w:rPr>
          <w:rFonts w:ascii="Times New Roman" w:cs="Times New Roman" w:eastAsia="Times New Roman" w:hAnsi="Times New Roman"/>
          <w:sz w:val="18"/>
          <w:szCs w:val="18"/>
          <w:color w:val="auto"/>
        </w:rPr>
        <w:t>301 South College Street, 5th Floor</w:t>
      </w:r>
    </w:p>
    <w:p>
      <w:pPr>
        <w:spacing w:after="0" w:line="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Charlotte, NC 28202</w:t>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Attention: [***]</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Telephone No. [***]</w:t>
      </w:r>
    </w:p>
    <w:p>
      <w:pPr>
        <w:spacing w:after="0" w:line="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Email: [***]</w:t>
      </w:r>
    </w:p>
    <w:p>
      <w:pPr>
        <w:sectPr>
          <w:pgSz w:w="11900" w:h="16838" w:orient="portrait"/>
          <w:cols w:equalWidth="0" w:num="1">
            <w:col w:w="11240"/>
          </w:cols>
          <w:pgMar w:left="320" w:top="1440" w:right="339" w:bottom="1440" w:gutter="0" w:footer="0" w:header="0"/>
          <w:type w:val="continuous"/>
        </w:sectPr>
      </w:pPr>
    </w:p>
    <w:p>
      <w:pPr>
        <w:spacing w:after="0" w:line="84" w:lineRule="exact"/>
        <w:rPr>
          <w:sz w:val="20"/>
          <w:szCs w:val="20"/>
          <w:color w:val="auto"/>
        </w:rPr>
      </w:pPr>
    </w:p>
    <w:p>
      <w:pPr>
        <w:jc w:val="both"/>
        <w:ind w:firstLine="1241"/>
        <w:spacing w:after="0" w:line="231" w:lineRule="auto"/>
        <w:tabs>
          <w:tab w:leader="none" w:pos="184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Posted on the Platform, notices and other communications to Administrative Agent, Purchasers and Seller hereunder may be delivered or furnished by electronic communication (including email and Internet or intranet websites) pursuant to procedures agreed upon by Administrative Agent, Purchasers and Sellers.</w:t>
      </w:r>
    </w:p>
    <w:p>
      <w:pPr>
        <w:spacing w:after="0" w:line="142" w:lineRule="exact"/>
        <w:rPr>
          <w:rFonts w:ascii="Times New Roman" w:cs="Times New Roman" w:eastAsia="Times New Roman" w:hAnsi="Times New Roman"/>
          <w:sz w:val="19"/>
          <w:szCs w:val="19"/>
          <w:color w:val="auto"/>
        </w:rPr>
      </w:pPr>
    </w:p>
    <w:p>
      <w:pPr>
        <w:jc w:val="both"/>
        <w:ind w:firstLine="1241"/>
        <w:spacing w:after="0" w:line="231" w:lineRule="auto"/>
        <w:tabs>
          <w:tab w:leader="none" w:pos="1847"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Communications with respect to the sale and purchase of Receivables and reconciliation of Collections pursuant to a Purchase Request shall be conducted via email communication, all in form and substance reasonably satisfactory to Administrative Agent, Purchasers and Sellers.</w:t>
      </w:r>
    </w:p>
    <w:p>
      <w:pPr>
        <w:spacing w:after="0" w:line="143"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Conducting Business Through the Platform</w:t>
      </w:r>
      <w:r>
        <w:rPr>
          <w:rFonts w:ascii="Times New Roman" w:cs="Times New Roman" w:eastAsia="Times New Roman" w:hAnsi="Times New Roman"/>
          <w:sz w:val="19"/>
          <w:szCs w:val="19"/>
          <w:color w:val="auto"/>
        </w:rPr>
        <w:t>. Administrative Agent, Purchasers and Sellers each (i) consent to the communication and delivery of Offers, Acceptances, and other Postings and communications through the Platform, even though such actions are by electronic</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means on the Platform, (ii) agree that such actions shall be valid and binding on the parties, as if such actions had been taken in writing, and (iii) hereby waive any claim or defense that any such Offers, Acceptances, and other Postings and communications through the Platform are not binding</w:t>
      </w:r>
    </w:p>
    <w:p>
      <w:pPr>
        <w:spacing w:after="0" w:line="213" w:lineRule="auto"/>
        <w:rPr>
          <w:sz w:val="20"/>
          <w:szCs w:val="20"/>
          <w:color w:val="auto"/>
        </w:rPr>
      </w:pPr>
      <w:r>
        <w:rPr>
          <w:rFonts w:ascii="Times New Roman" w:cs="Times New Roman" w:eastAsia="Times New Roman" w:hAnsi="Times New Roman"/>
          <w:sz w:val="19"/>
          <w:szCs w:val="19"/>
          <w:color w:val="auto"/>
        </w:rPr>
        <w:t>or enforceable or do not have their intended effect as a result of their being communicated electronically. Sellers hereby agree that Administrative</w:t>
      </w:r>
    </w:p>
    <w:p>
      <w:pPr>
        <w:spacing w:after="0" w:line="205" w:lineRule="auto"/>
        <w:rPr>
          <w:sz w:val="20"/>
          <w:szCs w:val="20"/>
          <w:color w:val="auto"/>
        </w:rPr>
      </w:pPr>
      <w:r>
        <w:rPr>
          <w:rFonts w:ascii="Times New Roman" w:cs="Times New Roman" w:eastAsia="Times New Roman" w:hAnsi="Times New Roman"/>
          <w:sz w:val="19"/>
          <w:szCs w:val="19"/>
          <w:color w:val="auto"/>
        </w:rPr>
        <w:t>Agent and Purchasers shall be entitled to rely on any Posting sent or purported to be sent by Sellers via the Platform as valid and binding on Sellers irrespective of any error or fraud contained therein or the identity of the individual who made the Posting, except to the extent that such error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fraud or use of the Platform by an unauthorized third party is a result of the gross negligence or willful misconduct of the Platform Manager.</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No Waiver; Cumulative Remedies</w:t>
      </w:r>
      <w:r>
        <w:rPr>
          <w:rFonts w:ascii="Times New Roman" w:cs="Times New Roman" w:eastAsia="Times New Roman" w:hAnsi="Times New Roman"/>
          <w:sz w:val="19"/>
          <w:szCs w:val="19"/>
          <w:color w:val="auto"/>
        </w:rPr>
        <w:t>. No failure or delay on the part of Administrative Agent, Purchasers or Sellers in exercising any power or right hereunder shall operate as a waiver thereof, nor shall any single or partial exercise of any such power or right preclude any other or</w:t>
      </w:r>
    </w:p>
    <w:p>
      <w:pPr>
        <w:spacing w:after="0" w:line="213" w:lineRule="auto"/>
        <w:rPr>
          <w:sz w:val="20"/>
          <w:szCs w:val="20"/>
          <w:color w:val="auto"/>
        </w:rPr>
      </w:pPr>
      <w:r>
        <w:rPr>
          <w:rFonts w:ascii="Times New Roman" w:cs="Times New Roman" w:eastAsia="Times New Roman" w:hAnsi="Times New Roman"/>
          <w:sz w:val="19"/>
          <w:szCs w:val="19"/>
          <w:color w:val="auto"/>
        </w:rPr>
        <w:t>further exercise thereof or the exercise of any other power or right. No notice to or demand on Administrative Agent, Purchasers or Sellers in any</w:t>
      </w:r>
    </w:p>
    <w:p>
      <w:pPr>
        <w:spacing w:after="0" w:line="216" w:lineRule="auto"/>
        <w:rPr>
          <w:sz w:val="20"/>
          <w:szCs w:val="20"/>
          <w:color w:val="auto"/>
        </w:rPr>
      </w:pPr>
      <w:r>
        <w:rPr>
          <w:rFonts w:ascii="Times New Roman" w:cs="Times New Roman" w:eastAsia="Times New Roman" w:hAnsi="Times New Roman"/>
          <w:sz w:val="18"/>
          <w:szCs w:val="18"/>
          <w:color w:val="auto"/>
        </w:rPr>
        <w:t>case shall entitle it to any notice or demand in similar or other circumstances. No waiver or approval by Administrative Agent or Purchasers under this Agreement shall, except as may otherwise be stated in such waiver or approval, be applicable to subsequent transactions. No waiver or approval</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under this Agreement shall require any similar or dissimilar waiver or approval thereafter to be granted hereunder. The remedies herein provided are cumulative and not exclusive of any remedies provided by law.</w:t>
      </w:r>
    </w:p>
    <w:p>
      <w:pPr>
        <w:spacing w:after="0" w:line="13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10.5</w:t>
      </w:r>
      <w:r>
        <w:rPr>
          <w:sz w:val="20"/>
          <w:szCs w:val="20"/>
          <w:color w:val="auto"/>
        </w:rPr>
        <w:tab/>
      </w:r>
      <w:r>
        <w:rPr>
          <w:rFonts w:ascii="Times New Roman" w:cs="Times New Roman" w:eastAsia="Times New Roman" w:hAnsi="Times New Roman"/>
          <w:sz w:val="19"/>
          <w:szCs w:val="19"/>
          <w:u w:val="single" w:color="auto"/>
          <w:color w:val="auto"/>
        </w:rPr>
        <w:t>Binding Effect; Assignability; Survival of Provisions</w:t>
      </w:r>
      <w:r>
        <w:rPr>
          <w:rFonts w:ascii="Times New Roman" w:cs="Times New Roman" w:eastAsia="Times New Roman" w:hAnsi="Times New Roman"/>
          <w:sz w:val="19"/>
          <w:szCs w:val="19"/>
          <w:color w:val="auto"/>
        </w:rPr>
        <w:t>. This Agreement shall be binding upon and inure to the benefit of</w:t>
      </w:r>
    </w:p>
    <w:p>
      <w:pPr>
        <w:spacing w:after="0" w:line="216" w:lineRule="auto"/>
        <w:rPr>
          <w:sz w:val="20"/>
          <w:szCs w:val="20"/>
          <w:color w:val="auto"/>
        </w:rPr>
      </w:pPr>
      <w:r>
        <w:rPr>
          <w:rFonts w:ascii="Times New Roman" w:cs="Times New Roman" w:eastAsia="Times New Roman" w:hAnsi="Times New Roman"/>
          <w:sz w:val="18"/>
          <w:szCs w:val="18"/>
          <w:color w:val="auto"/>
        </w:rPr>
        <w:t>Administrative Agent, Purchasers, Sellers and each of their respective successors and permitted assigns. No Seller may assign its rights hereunder or any interest herein without the prior written consent of Administrative Agent and each other Seller (such consent not be unreasonably withheld or</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delayed). Administrative Agent shall have the right (i) to sell or assign all or any part of, or any interest in, Administrative Agent’s obligations, rights and benefits hereunder to any Affiliate of</w:t>
      </w:r>
    </w:p>
    <w:p>
      <w:pPr>
        <w:sectPr>
          <w:pgSz w:w="11900" w:h="16838" w:orient="portrait"/>
          <w:cols w:equalWidth="0" w:num="1">
            <w:col w:w="11240"/>
          </w:cols>
          <w:pgMar w:left="320" w:top="1440" w:right="339" w:bottom="144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9"/>
          <w:szCs w:val="19"/>
          <w:color w:val="auto"/>
        </w:rPr>
        <w:t>Administrative Agent and to any other Person that is not a Competitor, upon prior written consent from the Sellers (such consent not to be unreasonably withheld or delayed) and (ii) to grant participations in all or any part of, or any interest in, Administrative Agent’s obligations, rights</w:t>
      </w:r>
    </w:p>
    <w:p>
      <w:pPr>
        <w:spacing w:after="0" w:line="224" w:lineRule="auto"/>
        <w:rPr>
          <w:sz w:val="20"/>
          <w:szCs w:val="20"/>
          <w:color w:val="auto"/>
        </w:rPr>
      </w:pPr>
      <w:r>
        <w:rPr>
          <w:rFonts w:ascii="Times New Roman" w:cs="Times New Roman" w:eastAsia="Times New Roman" w:hAnsi="Times New Roman"/>
          <w:sz w:val="18"/>
          <w:szCs w:val="18"/>
          <w:color w:val="auto"/>
        </w:rPr>
        <w:t>and benefits hereunder to any Person that is not a Competitor, without the consent of or notice to Sellers. This Agreement shall create and constitute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the continuing obligations of the parties in accordance with its terms, and shall remain in full force and effect until the date after the termination hereof on which Administrative Agent has received payment in full in cash for all Purchased Receivables, and Sellers have paid and performed all</w:t>
      </w:r>
    </w:p>
    <w:p>
      <w:pPr>
        <w:spacing w:after="0" w:line="213" w:lineRule="auto"/>
        <w:rPr>
          <w:sz w:val="20"/>
          <w:szCs w:val="20"/>
          <w:color w:val="auto"/>
        </w:rPr>
      </w:pPr>
      <w:r>
        <w:rPr>
          <w:rFonts w:ascii="Times New Roman" w:cs="Times New Roman" w:eastAsia="Times New Roman" w:hAnsi="Times New Roman"/>
          <w:sz w:val="19"/>
          <w:szCs w:val="19"/>
          <w:color w:val="auto"/>
        </w:rPr>
        <w:t>of their obligations hereunder in full. The rights and remedies with respect to any breach of any representation and warranty made by Sellers</w:t>
      </w:r>
    </w:p>
    <w:p>
      <w:pPr>
        <w:spacing w:after="0" w:line="222" w:lineRule="auto"/>
        <w:rPr>
          <w:sz w:val="20"/>
          <w:szCs w:val="20"/>
          <w:color w:val="auto"/>
        </w:rPr>
      </w:pPr>
      <w:r>
        <w:rPr>
          <w:rFonts w:ascii="Times New Roman" w:cs="Times New Roman" w:eastAsia="Times New Roman" w:hAnsi="Times New Roman"/>
          <w:sz w:val="19"/>
          <w:szCs w:val="19"/>
          <w:color w:val="auto"/>
        </w:rPr>
        <w:t>pursuant to Section 4, the reinstatement of certain obligations and associated indemnifications pursuant to Section 9.7 and the indemnification and payment provisions of Section 8 shall be continuing and shall survive any termination of this Agreement.</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10.6</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INCLUDING THE RIGHTS AND DUTIES OF THE PARTIES HERETO, SHALL BE</w:t>
      </w:r>
    </w:p>
    <w:p>
      <w:pPr>
        <w:spacing w:after="0" w:line="216" w:lineRule="auto"/>
        <w:rPr>
          <w:sz w:val="20"/>
          <w:szCs w:val="20"/>
          <w:color w:val="auto"/>
        </w:rPr>
      </w:pPr>
      <w:r>
        <w:rPr>
          <w:rFonts w:ascii="Times New Roman" w:cs="Times New Roman" w:eastAsia="Times New Roman" w:hAnsi="Times New Roman"/>
          <w:sz w:val="18"/>
          <w:szCs w:val="18"/>
          <w:color w:val="auto"/>
        </w:rPr>
        <w:t>GOVERNED BY, AND CONSTRUED IN ACCORDANCE WITH, THE LAWS OF THE STATE OF NEW YORK (INCLUDING SECTIONS 5-1401 AND 5-1402 OF THE GENERAL OBLIGATIONS LAW OF THE STATE OF NEW YORK, BUT WITHOUT REGARD TO ANY OTHER</w:t>
      </w:r>
    </w:p>
    <w:p>
      <w:pPr>
        <w:spacing w:after="0" w:line="225" w:lineRule="auto"/>
        <w:rPr>
          <w:sz w:val="20"/>
          <w:szCs w:val="20"/>
          <w:color w:val="auto"/>
        </w:rPr>
      </w:pPr>
      <w:r>
        <w:rPr>
          <w:rFonts w:ascii="Times New Roman" w:cs="Times New Roman" w:eastAsia="Times New Roman" w:hAnsi="Times New Roman"/>
          <w:sz w:val="18"/>
          <w:szCs w:val="18"/>
          <w:color w:val="auto"/>
        </w:rPr>
        <w:t>CONFLICTS OF LAW PROVISIONS THEREOF, EXCEPT TO THE EXTENT THAT THE PERFECTION, THE EFFECT OF PERFECTION OR</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PRIORITY OF THE INTERESTS OF ADMINISTRATIVE AGENT IN THE PURCHASED RECEIVABLES OR ANY COLLECTION ACCOUNT IS GOVERNED BY THE LAWS OF A JURISDICTION OTHER THAN THE STATE OF NEW YORK).</w:t>
      </w:r>
    </w:p>
    <w:p>
      <w:pPr>
        <w:spacing w:after="0" w:line="156" w:lineRule="exact"/>
        <w:rPr>
          <w:sz w:val="20"/>
          <w:szCs w:val="20"/>
          <w:color w:val="auto"/>
        </w:rPr>
      </w:pPr>
    </w:p>
    <w:p>
      <w:pPr>
        <w:jc w:val="both"/>
        <w:ind w:firstLine="1241"/>
        <w:spacing w:after="0" w:line="222" w:lineRule="auto"/>
        <w:tabs>
          <w:tab w:leader="none" w:pos="1847"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IRREVOCABLY WAIVES ANY RIGHT THAT IT MAY HAVE TO A JURY TRIAL OF ANY CLAIM OR CAUSE OF ACTION BASED UPON OR ARISING OUT OF ANY OF THE TRANSACTIONS CONTEMPLATED HEREIN, INCLUDING CONTRACT CLAIMS, TORT CLAIMS, BREACH OF DUTY CLAIMS AND ALL OTHER COMMON LAW OR STATUTORY CLAIMS.</w:t>
      </w:r>
    </w:p>
    <w:p>
      <w:pPr>
        <w:spacing w:after="0" w:line="158" w:lineRule="exact"/>
        <w:rPr>
          <w:rFonts w:ascii="Times New Roman" w:cs="Times New Roman" w:eastAsia="Times New Roman" w:hAnsi="Times New Roman"/>
          <w:sz w:val="19"/>
          <w:szCs w:val="19"/>
          <w:color w:val="auto"/>
        </w:rPr>
      </w:pPr>
    </w:p>
    <w:p>
      <w:pPr>
        <w:jc w:val="both"/>
        <w:ind w:firstLine="1241"/>
        <w:spacing w:after="0" w:line="214" w:lineRule="auto"/>
        <w:tabs>
          <w:tab w:leader="none" w:pos="1844"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EACH PARTY HERETO HEREBY ACKNOWLEDGES AND AGREES THAT IT IRREVOCABLY (i) SUBMITS TO THE JURISDICTION, FIRST, OF ANY UNITED STATES FEDERAL COURT, AND SECOND, IF FEDERAL JURISDICTION IS NOT AVAILABLE, OF ANY NEW YORK STATE COURT, IN EITHER CASE SITTING IN NEW YORK CITY, NEW YORK, IN ANY ACTION OR PROCEEDING ARISING OUT OF OR RELATING TO THIS AGREEMENT AND ANY OTHER TRANSACTION DOCUMENT, (ii) AGREES THAT ALL CLAIMS IN RESPECT OF SUCH ACTION OR PROCEEDING MAY BE HEARD AND DETERMINED ONLY IN SUCH NEW YORK STATE OR FEDERAL COURT AND NOT IN ANY OTHER COURT, AND (iii) WAIVES, TO THE FULLEST EXTENT IT MAY EFFECTIVELY DO SO, THE DEFENSE OF AN INCONVENIENT FORUM TO THE MAINTENANCE OF SUCH ACTION OR PROCEEDING.</w:t>
      </w:r>
    </w:p>
    <w:p>
      <w:pPr>
        <w:spacing w:after="0" w:line="156" w:lineRule="exact"/>
        <w:rPr>
          <w:rFonts w:ascii="Times New Roman" w:cs="Times New Roman" w:eastAsia="Times New Roman" w:hAnsi="Times New Roman"/>
          <w:sz w:val="19"/>
          <w:szCs w:val="19"/>
          <w:color w:val="auto"/>
        </w:rPr>
      </w:pPr>
    </w:p>
    <w:p>
      <w:pPr>
        <w:jc w:val="both"/>
        <w:ind w:firstLine="1241"/>
        <w:spacing w:after="0" w:line="217" w:lineRule="auto"/>
        <w:tabs>
          <w:tab w:leader="none" w:pos="1847"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IMMUNITIES</w:t>
      </w:r>
      <w:r>
        <w:rPr>
          <w:rFonts w:ascii="Times New Roman" w:cs="Times New Roman" w:eastAsia="Times New Roman" w:hAnsi="Times New Roman"/>
          <w:sz w:val="19"/>
          <w:szCs w:val="19"/>
          <w:color w:val="auto"/>
        </w:rPr>
        <w:t>. EACH PARTY HERETO HEREBY ACKNOWLEDGES AND AGREES THAT 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spacing w:after="0" w:line="15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10.7</w:t>
      </w:r>
      <w:r>
        <w:rPr>
          <w:sz w:val="20"/>
          <w:szCs w:val="20"/>
          <w:color w:val="auto"/>
        </w:rPr>
        <w:tab/>
      </w:r>
      <w:r>
        <w:rPr>
          <w:rFonts w:ascii="Times New Roman" w:cs="Times New Roman" w:eastAsia="Times New Roman" w:hAnsi="Times New Roman"/>
          <w:sz w:val="19"/>
          <w:szCs w:val="19"/>
          <w:u w:val="single" w:color="auto"/>
          <w:color w:val="auto"/>
        </w:rPr>
        <w:t>Setoff and Reinstatement</w:t>
      </w:r>
      <w:r>
        <w:rPr>
          <w:rFonts w:ascii="Times New Roman" w:cs="Times New Roman" w:eastAsia="Times New Roman" w:hAnsi="Times New Roman"/>
          <w:sz w:val="19"/>
          <w:szCs w:val="19"/>
          <w:color w:val="auto"/>
        </w:rPr>
        <w:t>. Upon the occurrence and during the continuation of the Termination Event, all amounts due and payable</w:t>
      </w:r>
    </w:p>
    <w:p>
      <w:pPr>
        <w:spacing w:after="0" w:line="216" w:lineRule="auto"/>
        <w:rPr>
          <w:sz w:val="20"/>
          <w:szCs w:val="20"/>
          <w:color w:val="auto"/>
        </w:rPr>
      </w:pPr>
      <w:r>
        <w:rPr>
          <w:rFonts w:ascii="Times New Roman" w:cs="Times New Roman" w:eastAsia="Times New Roman" w:hAnsi="Times New Roman"/>
          <w:sz w:val="18"/>
          <w:szCs w:val="18"/>
          <w:color w:val="auto"/>
        </w:rPr>
        <w:t xml:space="preserve">from Sellers to Administrative Agent or Purchasers under the Transaction Documents shall be paid by the Sellers to Administrative Agent, or any such Purchaser, without adjustment, setoff or deduction of any kind or nature,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solely upon the occurrence and during the continuation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of the Termination Event, Administrative Agent may, in its sole discretion, collect any amount due and payable from Sellers to Administrative Agent or Purchasers under</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9"/>
          <w:szCs w:val="19"/>
          <w:color w:val="auto"/>
        </w:rPr>
        <w:t>the Transaction Documents, including any Collections received by Sellers from Purchased Receivables and any Repurchase Price, by setoff against any amount owing by Administrative Agent or Purchasers to Sellers hereunder, including any portion of the Purchase Price. If after receipt of any</w:t>
      </w:r>
    </w:p>
    <w:p>
      <w:pPr>
        <w:spacing w:after="0" w:line="213" w:lineRule="auto"/>
        <w:rPr>
          <w:sz w:val="20"/>
          <w:szCs w:val="20"/>
          <w:color w:val="auto"/>
        </w:rPr>
      </w:pPr>
      <w:r>
        <w:rPr>
          <w:rFonts w:ascii="Times New Roman" w:cs="Times New Roman" w:eastAsia="Times New Roman" w:hAnsi="Times New Roman"/>
          <w:sz w:val="19"/>
          <w:szCs w:val="19"/>
          <w:color w:val="auto"/>
        </w:rPr>
        <w:t>payment from or for the account of Sellers or in respect of any Purchased Receivable, Administrative Agent or any Purchaser is required to</w:t>
      </w:r>
    </w:p>
    <w:p>
      <w:pPr>
        <w:spacing w:after="0" w:line="216" w:lineRule="auto"/>
        <w:rPr>
          <w:sz w:val="20"/>
          <w:szCs w:val="20"/>
          <w:color w:val="auto"/>
        </w:rPr>
      </w:pPr>
      <w:r>
        <w:rPr>
          <w:rFonts w:ascii="Times New Roman" w:cs="Times New Roman" w:eastAsia="Times New Roman" w:hAnsi="Times New Roman"/>
          <w:sz w:val="18"/>
          <w:szCs w:val="18"/>
          <w:color w:val="auto"/>
        </w:rPr>
        <w:t>surrender or return such payment or proceeds to any Person for any reason, then the obligations intended to be satisfied by such payment shall be reinstated and continue and this Agreement shall continue in full force and effect as if such payment had not been received by Administrative Agent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or any such Purchaser, as applicable. This Section shall remain effective notwithstanding any contrary action which may be taken by Administrative Agent or and Purchaser in reliance upon such payment or proceeds. This Section shall survive the termination of this Agreement.</w:t>
      </w:r>
    </w:p>
    <w:p>
      <w:pPr>
        <w:spacing w:after="0" w:line="143"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In addition to the obligations of Sellers under this Agreement, each Seller agrees to pay, on demand: (a) all reasonable and documented out-of-pocket costs and expenses of Administrative Agent, including attorneys’ fees and expenses, in connection with</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the preparation, negotiation, administration and enforcement against Sellers of the Transaction Documents, and any amendment, waiver or other modification of any of the foregoing; (b) all liabilities, loss, cost and expense suffered by the Administrative Agent with respect to or resulting from</w:t>
      </w:r>
    </w:p>
    <w:p>
      <w:pPr>
        <w:spacing w:after="0" w:line="213" w:lineRule="auto"/>
        <w:rPr>
          <w:sz w:val="20"/>
          <w:szCs w:val="20"/>
          <w:color w:val="auto"/>
        </w:rPr>
      </w:pPr>
      <w:r>
        <w:rPr>
          <w:rFonts w:ascii="Times New Roman" w:cs="Times New Roman" w:eastAsia="Times New Roman" w:hAnsi="Times New Roman"/>
          <w:sz w:val="19"/>
          <w:szCs w:val="19"/>
          <w:color w:val="auto"/>
        </w:rPr>
        <w:t>any delay in paying or omission to pay such costs, expenses and fees, except to the extent such delay or failure to pay results from the gross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negligence, willful misconduct or bad faith of an Indemnified Party; and (c) all reasonable and documented out-of-pocket costs and expenses, including attorneys’ fees and expenses of settlement incurred by Administrative Agent or any of its Affiliates in enforcing any of its rights or</w:t>
      </w:r>
    </w:p>
    <w:p>
      <w:pPr>
        <w:spacing w:after="0" w:line="213" w:lineRule="auto"/>
        <w:rPr>
          <w:sz w:val="20"/>
          <w:szCs w:val="20"/>
          <w:color w:val="auto"/>
        </w:rPr>
      </w:pPr>
      <w:r>
        <w:rPr>
          <w:rFonts w:ascii="Times New Roman" w:cs="Times New Roman" w:eastAsia="Times New Roman" w:hAnsi="Times New Roman"/>
          <w:sz w:val="19"/>
          <w:szCs w:val="19"/>
          <w:color w:val="auto"/>
        </w:rPr>
        <w:t>remedies under, or with respect to, this Agreement or any other Transaction Document, or in collecting any amounts due from Sellers hereunder or</w:t>
      </w:r>
    </w:p>
    <w:p>
      <w:pPr>
        <w:spacing w:after="0" w:line="216" w:lineRule="auto"/>
        <w:rPr>
          <w:sz w:val="20"/>
          <w:szCs w:val="20"/>
          <w:color w:val="auto"/>
        </w:rPr>
      </w:pPr>
      <w:r>
        <w:rPr>
          <w:rFonts w:ascii="Times New Roman" w:cs="Times New Roman" w:eastAsia="Times New Roman" w:hAnsi="Times New Roman"/>
          <w:sz w:val="18"/>
          <w:szCs w:val="18"/>
          <w:color w:val="auto"/>
        </w:rPr>
        <w:t>under any other Transaction Document. If acceleration of the time for payment of any amount payable by Seller under the Transaction Documents is stayed upon the insolvency, bankruptcy or reorganization of any such Person, all such amounts otherwise subject to acceleration under the terms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Transaction Documents shall nonetheless be payable hereunder in accordance with the terms hereof.</w:t>
      </w:r>
    </w:p>
    <w:p>
      <w:pPr>
        <w:spacing w:after="0" w:line="161" w:lineRule="exact"/>
        <w:rPr>
          <w:sz w:val="20"/>
          <w:szCs w:val="20"/>
          <w:color w:val="auto"/>
        </w:rPr>
      </w:pPr>
    </w:p>
    <w:p>
      <w:pPr>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19"/>
          <w:szCs w:val="19"/>
          <w:u w:val="single" w:color="auto"/>
          <w:color w:val="auto"/>
        </w:rPr>
        <w:t>Interest on Overdue Amounts; Calculation of Interest</w:t>
      </w:r>
      <w:r>
        <w:rPr>
          <w:rFonts w:ascii="Times New Roman" w:cs="Times New Roman" w:eastAsia="Times New Roman" w:hAnsi="Times New Roman"/>
          <w:sz w:val="19"/>
          <w:szCs w:val="19"/>
          <w:color w:val="auto"/>
        </w:rPr>
        <w:t>. All overdue amounts owed by Sellers to Administrative Agent and Purchasers pursuant to this Agreement shall, at the election of Administrative Agent, accrue interest at the Overdue Payment Rate from the date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immediately succeeding the due date until the date on which payment thereof is made in accordance with the terms of this Agreement. All interest amounts calculated on a per annum basis hereunder are calculated on the basis of a year of three hundred and sixty (360) days.</w:t>
      </w:r>
    </w:p>
    <w:p>
      <w:pPr>
        <w:spacing w:after="0" w:line="13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10.10</w:t>
      </w:r>
      <w:r>
        <w:rPr>
          <w:sz w:val="20"/>
          <w:szCs w:val="20"/>
          <w:color w:val="auto"/>
        </w:rPr>
        <w:tab/>
      </w:r>
      <w:r>
        <w:rPr>
          <w:rFonts w:ascii="Times New Roman" w:cs="Times New Roman" w:eastAsia="Times New Roman" w:hAnsi="Times New Roman"/>
          <w:sz w:val="19"/>
          <w:szCs w:val="19"/>
          <w:u w:val="single" w:color="auto"/>
          <w:color w:val="auto"/>
        </w:rPr>
        <w:t>Electronic Execution; Execution in Counterparts</w:t>
      </w:r>
      <w:r>
        <w:rPr>
          <w:rFonts w:ascii="Times New Roman" w:cs="Times New Roman" w:eastAsia="Times New Roman" w:hAnsi="Times New Roman"/>
          <w:sz w:val="19"/>
          <w:szCs w:val="19"/>
          <w:color w:val="auto"/>
        </w:rPr>
        <w:t>. This Agreement and any notices delivered under this Agreement, may be</w:t>
      </w:r>
    </w:p>
    <w:p>
      <w:pPr>
        <w:spacing w:after="0" w:line="205" w:lineRule="auto"/>
        <w:rPr>
          <w:sz w:val="20"/>
          <w:szCs w:val="20"/>
          <w:color w:val="auto"/>
        </w:rPr>
      </w:pPr>
      <w:r>
        <w:rPr>
          <w:rFonts w:ascii="Times New Roman" w:cs="Times New Roman" w:eastAsia="Times New Roman" w:hAnsi="Times New Roman"/>
          <w:sz w:val="19"/>
          <w:szCs w:val="19"/>
          <w:color w:val="auto"/>
        </w:rPr>
        <w:t>executed by means of (a) an electronic signature that complies with the federal Electronic Signatures in Global and National Commerce Act, state enactments of the Uniform Electronic Transactions Act, or any other relevant and applicable electronic signatures law; (b) an original manual</w:t>
      </w:r>
    </w:p>
    <w:p>
      <w:pPr>
        <w:spacing w:after="0" w:line="213" w:lineRule="auto"/>
        <w:rPr>
          <w:sz w:val="20"/>
          <w:szCs w:val="20"/>
          <w:color w:val="auto"/>
        </w:rPr>
      </w:pPr>
      <w:r>
        <w:rPr>
          <w:rFonts w:ascii="Times New Roman" w:cs="Times New Roman" w:eastAsia="Times New Roman" w:hAnsi="Times New Roman"/>
          <w:sz w:val="19"/>
          <w:szCs w:val="19"/>
          <w:color w:val="auto"/>
        </w:rPr>
        <w:t>signature; or (c) a faxed, scanned, or photocopied manual signature. Each electronic signature or faxed, scanned, or photocopied manual signature</w:t>
      </w:r>
    </w:p>
    <w:p>
      <w:pPr>
        <w:spacing w:after="0" w:line="205" w:lineRule="auto"/>
        <w:rPr>
          <w:sz w:val="20"/>
          <w:szCs w:val="20"/>
          <w:color w:val="auto"/>
        </w:rPr>
      </w:pPr>
      <w:r>
        <w:rPr>
          <w:rFonts w:ascii="Times New Roman" w:cs="Times New Roman" w:eastAsia="Times New Roman" w:hAnsi="Times New Roman"/>
          <w:sz w:val="19"/>
          <w:szCs w:val="19"/>
          <w:color w:val="auto"/>
        </w:rPr>
        <w:t>shall for all purposes have the same validity, legal effect, and admissibility in evidence as an original manual signature. Administrative Agent and each Purchaser reserve the right, in its sole discretion, to accept, deny, or condition acceptance of any electronic signature on this Agreement or on</w:t>
      </w:r>
    </w:p>
    <w:p>
      <w:pPr>
        <w:spacing w:after="0" w:line="213" w:lineRule="auto"/>
        <w:rPr>
          <w:sz w:val="20"/>
          <w:szCs w:val="20"/>
          <w:color w:val="auto"/>
        </w:rPr>
      </w:pPr>
      <w:r>
        <w:rPr>
          <w:rFonts w:ascii="Times New Roman" w:cs="Times New Roman" w:eastAsia="Times New Roman" w:hAnsi="Times New Roman"/>
          <w:sz w:val="19"/>
          <w:szCs w:val="19"/>
          <w:color w:val="auto"/>
        </w:rPr>
        <w:t>any notice delivered to Administrative Agent or any such Purchaser under this Agreement. This Agreement and any notices delivered under this</w:t>
      </w:r>
    </w:p>
    <w:p>
      <w:pPr>
        <w:spacing w:after="0" w:line="216" w:lineRule="auto"/>
        <w:rPr>
          <w:sz w:val="20"/>
          <w:szCs w:val="20"/>
          <w:color w:val="auto"/>
        </w:rPr>
      </w:pPr>
      <w:r>
        <w:rPr>
          <w:rFonts w:ascii="Times New Roman" w:cs="Times New Roman" w:eastAsia="Times New Roman" w:hAnsi="Times New Roman"/>
          <w:sz w:val="18"/>
          <w:szCs w:val="18"/>
          <w:color w:val="auto"/>
        </w:rPr>
        <w:t>Agreement may be executed in any number of counterparts, each of which shall be deemed to be an original, but such counterparts shall, together, constitute only one instrument. Delivery of an executed counterpart of a signature page of this Agreement and any notices as set forth herein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effective as delivery of a manually executed counterpart of this Agreement or notice.</w:t>
      </w:r>
    </w:p>
    <w:p>
      <w:pPr>
        <w:spacing w:after="0" w:line="161"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Each party to this Agreement acknowledges that all information provided to it by the other parties in connection with the Platform and the Transaction Documents, including information as to the price offered by Administrative Agent, on behalf of Purchasers,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for Receivables, is proprietary and confidential. Each party agrees to maintain the confidentiality of such information and not use it for any purpose other than in connection with its decision to sell or purchase Receivables, as described herein.</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To help fight the funding of terrorism and money laundering activities, United States federal law requires all financial institutions to obtain, verify and record information that identifies each person or corporation who opens an account and/or enters into a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relationship.</w:t>
      </w:r>
    </w:p>
    <w:p>
      <w:pPr>
        <w:spacing w:after="0" w:line="161"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(including the Transaction Documents referred to herein) constitute the entire agreement among the parties to this Agreement and supersedes any prior understandings, agreements or representations by or among the parties, written or oral,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extent they relate in any way to the subject matter hereof.</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21"/>
          <w:szCs w:val="21"/>
          <w:color w:val="auto"/>
        </w:rPr>
        <w:t xml:space="preserve">10.14 </w:t>
      </w: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u w:val="single" w:color="auto"/>
          <w:color w:val="auto"/>
        </w:rPr>
        <w:t>Additional Sellers</w:t>
      </w:r>
      <w:r>
        <w:rPr>
          <w:rFonts w:ascii="Times New Roman" w:cs="Times New Roman" w:eastAsia="Times New Roman" w:hAnsi="Times New Roman"/>
          <w:sz w:val="18"/>
          <w:szCs w:val="18"/>
          <w:color w:val="auto"/>
        </w:rPr>
        <w:t>. From time to time on or after the date hereof, Take-Two may designate one or more subsidiaries organized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 xml:space="preserve">in any Applicable Jurisdiction as a “Seller” with respect to any Receivables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subsidiary designated after the date hereof shall not become a Seller hereunder unless and until each of the following conditions has occurred or is satisfied, as applicable:</w:t>
      </w:r>
    </w:p>
    <w:p>
      <w:pPr>
        <w:spacing w:after="0" w:line="144" w:lineRule="exact"/>
        <w:rPr>
          <w:sz w:val="20"/>
          <w:szCs w:val="20"/>
          <w:color w:val="auto"/>
        </w:rPr>
      </w:pPr>
    </w:p>
    <w:p>
      <w:pPr>
        <w:jc w:val="both"/>
        <w:ind w:firstLine="1241"/>
        <w:spacing w:after="0" w:line="231" w:lineRule="auto"/>
        <w:tabs>
          <w:tab w:leader="none" w:pos="1847"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beneficial ownership certification and all other documentations and information about such Additional Seller as has been reasonably requested in writing by the Administrative Agent to comply with requirements by regulatory authorities under applicable “know your customer” and anti-money laundering rules and regulations;</w:t>
      </w:r>
    </w:p>
    <w:p>
      <w:pPr>
        <w:spacing w:after="0" w:line="142" w:lineRule="exact"/>
        <w:rPr>
          <w:rFonts w:ascii="Times New Roman" w:cs="Times New Roman" w:eastAsia="Times New Roman" w:hAnsi="Times New Roman"/>
          <w:sz w:val="19"/>
          <w:szCs w:val="19"/>
          <w:color w:val="auto"/>
        </w:rPr>
      </w:pPr>
    </w:p>
    <w:p>
      <w:pPr>
        <w:ind w:firstLine="1241"/>
        <w:spacing w:after="0"/>
        <w:tabs>
          <w:tab w:leader="none" w:pos="1844"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Additional Seller shall be (i) organized in an Applicable Jurisdiction, (ii) generate Receivables in an Applicable Jurisdiction or (ii) receive Receivables generated by a subsidiary located in an Applicable Jurisdiction; and</w:t>
      </w:r>
    </w:p>
    <w:p>
      <w:pPr>
        <w:spacing w:after="0" w:line="156" w:lineRule="exact"/>
        <w:rPr>
          <w:rFonts w:ascii="Times New Roman" w:cs="Times New Roman" w:eastAsia="Times New Roman" w:hAnsi="Times New Roman"/>
          <w:sz w:val="19"/>
          <w:szCs w:val="19"/>
          <w:color w:val="auto"/>
        </w:rPr>
      </w:pPr>
    </w:p>
    <w:p>
      <w:pPr>
        <w:ind w:firstLine="1241"/>
        <w:spacing w:after="0" w:line="233" w:lineRule="auto"/>
        <w:tabs>
          <w:tab w:leader="none" w:pos="1847"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duly authorized, executed and delivered counterpart signature page to an Additional Seller Joinder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REMAINDER OF PAGE INTENTIONALLY LEFT BLANK</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IN WITNESS WHEREOF, the parties have caused this Agreement to be executed by their respective officers thereunto duly authorized, as of the date first above written.</w:t>
      </w:r>
    </w:p>
    <w:p>
      <w:pPr>
        <w:spacing w:after="0" w:line="16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u w:val="single" w:color="auto"/>
          <w:color w:val="auto"/>
        </w:rPr>
        <w:t>ADMINISTRATIVE AGENT</w:t>
      </w:r>
    </w:p>
    <w:p>
      <w:pPr>
        <w:spacing w:after="0" w:line="2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b w:val="1"/>
          <w:bCs w:val="1"/>
          <w:color w:val="auto"/>
        </w:rPr>
        <w:t>WELLS FARGO BANK, N.A.</w:t>
      </w:r>
    </w:p>
    <w:p>
      <w:pPr>
        <w:spacing w:after="0" w:line="30" w:lineRule="exact"/>
        <w:rPr>
          <w:sz w:val="20"/>
          <w:szCs w:val="20"/>
          <w:color w:val="auto"/>
        </w:rPr>
      </w:pPr>
    </w:p>
    <w:p>
      <w:pPr>
        <w:ind w:left="3680"/>
        <w:spacing w:after="0"/>
        <w:tabs>
          <w:tab w:leader="none" w:pos="4200" w:val="left"/>
        </w:tabs>
        <w:rPr>
          <w:sz w:val="20"/>
          <w:szCs w:val="20"/>
          <w:color w:val="auto"/>
        </w:rPr>
      </w:pPr>
      <w:r>
        <w:rPr>
          <w:rFonts w:ascii="Times New Roman" w:cs="Times New Roman" w:eastAsia="Times New Roman" w:hAnsi="Times New Roman"/>
          <w:sz w:val="19"/>
          <w:szCs w:val="19"/>
          <w:color w:val="auto"/>
        </w:rPr>
        <w:t>By:</w:t>
        <w:tab/>
        <w:t>/s/ Jonathan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21590</wp:posOffset>
            </wp:positionV>
            <wp:extent cx="21532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Name: Jonathan Davis</w:t>
      </w:r>
    </w:p>
    <w:p>
      <w:pPr>
        <w:spacing w:after="0" w:line="2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u w:val="single" w:color="auto"/>
          <w:color w:val="auto"/>
        </w:rPr>
        <w:t>PURCHASER</w:t>
      </w:r>
    </w:p>
    <w:p>
      <w:pPr>
        <w:spacing w:after="0" w:line="2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b w:val="1"/>
          <w:bCs w:val="1"/>
          <w:color w:val="auto"/>
        </w:rPr>
        <w:t>WELLS FARGO BANK, N.A.</w:t>
      </w:r>
    </w:p>
    <w:p>
      <w:pPr>
        <w:spacing w:after="0" w:line="30" w:lineRule="exact"/>
        <w:rPr>
          <w:sz w:val="20"/>
          <w:szCs w:val="20"/>
          <w:color w:val="auto"/>
        </w:rPr>
      </w:pPr>
    </w:p>
    <w:p>
      <w:pPr>
        <w:ind w:left="3680"/>
        <w:spacing w:after="0"/>
        <w:tabs>
          <w:tab w:leader="none" w:pos="4200" w:val="left"/>
        </w:tabs>
        <w:rPr>
          <w:sz w:val="20"/>
          <w:szCs w:val="20"/>
          <w:color w:val="auto"/>
        </w:rPr>
      </w:pPr>
      <w:r>
        <w:rPr>
          <w:rFonts w:ascii="Times New Roman" w:cs="Times New Roman" w:eastAsia="Times New Roman" w:hAnsi="Times New Roman"/>
          <w:sz w:val="19"/>
          <w:szCs w:val="19"/>
          <w:color w:val="auto"/>
        </w:rPr>
        <w:t>By:</w:t>
        <w:tab/>
        <w:t>/s/ Jonathan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21590</wp:posOffset>
            </wp:positionV>
            <wp:extent cx="21532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Name: Jonathan Davis</w:t>
      </w:r>
    </w:p>
    <w:p>
      <w:pPr>
        <w:spacing w:after="0" w:line="2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u w:val="single" w:color="auto"/>
          <w:color w:val="auto"/>
        </w:rPr>
        <w:t>SELLERS</w:t>
      </w: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TAKE-TWO INTERACTIVE SOFTWARE, INC.</w:t>
      </w:r>
    </w:p>
    <w:p>
      <w:pPr>
        <w:spacing w:after="0" w:line="366" w:lineRule="exact"/>
        <w:rPr>
          <w:sz w:val="20"/>
          <w:szCs w:val="20"/>
          <w:color w:val="auto"/>
        </w:rPr>
      </w:pPr>
    </w:p>
    <w:p>
      <w:pPr>
        <w:ind w:left="3680"/>
        <w:spacing w:after="0"/>
        <w:tabs>
          <w:tab w:leader="none" w:pos="4200" w:val="left"/>
        </w:tabs>
        <w:rPr>
          <w:sz w:val="20"/>
          <w:szCs w:val="20"/>
          <w:color w:val="auto"/>
        </w:rPr>
      </w:pPr>
      <w:r>
        <w:rPr>
          <w:rFonts w:ascii="Times New Roman" w:cs="Times New Roman" w:eastAsia="Times New Roman" w:hAnsi="Times New Roman"/>
          <w:sz w:val="19"/>
          <w:szCs w:val="19"/>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21590</wp:posOffset>
            </wp:positionV>
            <wp:extent cx="21532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2">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Name: Matthew Breitman</w:t>
      </w:r>
    </w:p>
    <w:p>
      <w:pPr>
        <w:spacing w:after="0" w:line="27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color w:val="auto"/>
        </w:rPr>
        <w:t>Title: SVP, General Counsel Americas and</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ZYNGA INC.</w:t>
      </w:r>
    </w:p>
    <w:p>
      <w:pPr>
        <w:spacing w:after="0" w:line="366" w:lineRule="exact"/>
        <w:rPr>
          <w:sz w:val="20"/>
          <w:szCs w:val="20"/>
          <w:color w:val="auto"/>
        </w:rPr>
      </w:pPr>
    </w:p>
    <w:p>
      <w:pPr>
        <w:ind w:left="3680"/>
        <w:spacing w:after="0"/>
        <w:tabs>
          <w:tab w:leader="none" w:pos="4200" w:val="left"/>
        </w:tabs>
        <w:rPr>
          <w:sz w:val="20"/>
          <w:szCs w:val="20"/>
          <w:color w:val="auto"/>
        </w:rPr>
      </w:pPr>
      <w:r>
        <w:rPr>
          <w:rFonts w:ascii="Times New Roman" w:cs="Times New Roman" w:eastAsia="Times New Roman" w:hAnsi="Times New Roman"/>
          <w:sz w:val="19"/>
          <w:szCs w:val="19"/>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21590</wp:posOffset>
            </wp:positionV>
            <wp:extent cx="21532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3">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Name: Matthew Breitman</w:t>
      </w:r>
    </w:p>
    <w:p>
      <w:pPr>
        <w:spacing w:after="0" w:line="2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9"/>
          <w:szCs w:val="19"/>
          <w:color w:val="auto"/>
        </w:rPr>
        <w:t>Title: Vice President and Secretary</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Czech, s.r.o.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(Chengdu) Co., Ltd.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Dublin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Madrid S.L.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(Shanghai) Co., Ltd.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Marin,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Play,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Songs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Sounds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Games Tunes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Studios Montreal,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 Vegas,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2KSports,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A.C.N 633 146 291 Pty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Almost There Entertainment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Anomotion Interactive Inc.</w:t>
      </w:r>
    </w:p>
    <w:p>
      <w:pPr>
        <w:spacing w:after="0" w:line="28"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Beijing StarLark Technology, Co., Ltd Big Dog Holdings LLC Blue Shift, Inc.</w:t>
      </w:r>
    </w:p>
    <w:p>
      <w:pPr>
        <w:spacing w:after="0" w:line="52"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7"/>
          <w:szCs w:val="17"/>
          <w:color w:val="auto"/>
        </w:rPr>
        <w:t>Bytetyper Yazilim Ticaret Anonim Sirketi Cat Daddy Games,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Chartboost B.V.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Chartboost Tech, S.L.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Creasaur Teknoloji Ticaret Anonim Sirketi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Dhruva Interactive Private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DMA Design Holdings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Double Take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Dynamixyz SAS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Echtra Games,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Firaxis Games,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Frog City Software,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GameClub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Gathering of Developers, Inc.</w:t>
      </w:r>
    </w:p>
    <w:p>
      <w:pPr>
        <w:spacing w:after="0" w:line="1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7"/>
          <w:szCs w:val="17"/>
          <w:color w:val="auto"/>
        </w:rPr>
        <w:t>Gearbox Development Services, LLC Gearbox Enterprises, LLC Gearbox Production Services, LLC Gearbox Productions, LLC Gearbox Publishing, LLC Gearbox Software, LLC Gearbox Studio Quebec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Subsidiaries of Take-Two Interactive Software, Inc.</w:t>
      </w:r>
    </w:p>
    <w:p>
      <w:pPr>
        <w:spacing w:after="0" w:line="1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1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Czech Republic</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China</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Ireland</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Spain</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China</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New York</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Quebec</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Australia</w:t>
      </w:r>
    </w:p>
    <w:p>
      <w:pPr>
        <w:spacing w:after="0" w:line="1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Ireland</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British Columbia</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China</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California</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Turkey</w:t>
      </w:r>
    </w:p>
    <w:p>
      <w:pPr>
        <w:spacing w:after="0" w:line="1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Washington</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Netherlands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Spain</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Turkey</w:t>
      </w:r>
    </w:p>
    <w:p>
      <w:pPr>
        <w:spacing w:after="0" w:line="1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India</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France</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California</w:t>
      </w:r>
    </w:p>
    <w:p>
      <w:pPr>
        <w:spacing w:after="0" w:line="1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Quebec</w:t>
      </w:r>
    </w:p>
    <w:p>
      <w:pPr>
        <w:sectPr>
          <w:pgSz w:w="11900" w:h="16838" w:orient="portrait"/>
          <w:cols w:equalWidth="0" w:num="2">
            <w:col w:w="3000" w:space="720"/>
            <w:col w:w="7500"/>
          </w:cols>
          <w:pgMar w:left="340" w:top="1357" w:right="339" w:bottom="1440" w:gutter="0" w:footer="0" w:header="0"/>
        </w:sectPr>
      </w:pPr>
    </w:p>
    <w:bookmarkStart w:id="266" w:name="page267"/>
    <w:bookmarkEnd w:id="266"/>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Gearbox Studios,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Gearbox Transmedia Services,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Gearhead Entertainment,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Ghost Story Games,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Glennco Games,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Gram Games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Gram Games Teknoloji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Groundhog 1,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Groundhog 2,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Hangar 13 UK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Indie Built,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Management Systems,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Joytech Europe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Joytech Ltd.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Kush Games,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LILW12TH,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Little Dog Domestic Holdings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LVY Technology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Nanotribe GmbH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NaturalMotion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NaturalMotion Games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NaturalMotion Software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Nom Nom Nom d.o.o Beograd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Nordeus d.o.o Beograd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Nordeus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Parrot Games, S.L.U.</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Peak Oyun Yazilim ve Pazarlama Anonim Şirketi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Playdots, LLC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Popcore GmbH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Popcore S.L.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RDIP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Dundee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Events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Games,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Games Songs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Games Sounds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Games Toronto ULC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Games Tunes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Games UK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Interactive India LLP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International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Leeds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Lincoln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Rockstar London Limited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Jurisdiction of Incorporation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Pennsylvania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Turkey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Serbia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Serbia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Turkey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Columbia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ectPr>
          <w:pgSz w:w="11900" w:h="16838" w:orient="portrait"/>
          <w:cols w:equalWidth="0" w:num="2">
            <w:col w:w="6880" w:space="720"/>
            <w:col w:w="2519"/>
          </w:cols>
          <w:pgMar w:left="340" w:top="1440" w:right="1440" w:bottom="1440" w:gutter="0" w:footer="0" w:header="0"/>
        </w:sectPr>
      </w:pPr>
    </w:p>
    <w:bookmarkStart w:id="267" w:name="page268"/>
    <w:bookmarkEnd w:id="26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Jurisdiction of Incorporation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Rockstar New England, Inc.</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Rockstar Records,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Rockstar San Diego, Inc.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Rollic Games Germany GmbH</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Rollic Games Oyun Yazilim ve Pazarlama Anonim Şirketi</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Turkey</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Rollingmedia Limited</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Segmatic Services (US), Inc.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Small Giant Games Oy</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Finland</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Social Point, S.L.</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Spain</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Storemaven Ltd</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Israel</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T2 Developer, Inc.</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 2 Interactive Software Pty. Ltd.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 2 Productions, Inc.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Asia Pte. Ltd.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Singapore</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Australia Development Pty Ltd</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Chile SpA</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Chile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Contracting,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Esports Holdings,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Europe (Holdings) Limited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Games Songs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Games Sounds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Games Tunes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GB Limited.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Holdings III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Holdings II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 Two Holdings LLC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Hong Kong Limited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Benelux B.V.</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Canada Holdings, Inc.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Ontario</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Canada, Inc.</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Ontario</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Espana S.L.</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Spain</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France SAS</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France</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GmbH</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Japan G.K.</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Korea Ltd.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South Korea</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Interactive India Private Limited</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Interactive Software Europe Limited</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Software Ireland Limited</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Interactive Software ME Limited</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Interactive Software UK Limited</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Interactive Software Vancouver ULC dba Visual Concepts Blue Shift</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British Columbia</w:t>
            </w:r>
          </w:p>
        </w:tc>
        <w:tc>
          <w:tcPr>
            <w:tcW w:w="0" w:type="dxa"/>
            <w:vAlign w:val="bottom"/>
          </w:tcPr>
          <w:p>
            <w:pPr>
              <w:spacing w:after="0"/>
              <w:rPr>
                <w:sz w:val="1"/>
                <w:szCs w:val="1"/>
                <w:color w:val="auto"/>
              </w:rPr>
            </w:pPr>
          </w:p>
        </w:tc>
      </w:tr>
      <w:tr>
        <w:trPr>
          <w:trHeight w:val="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Take-Two International B.V.</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vMerge w:val="continue"/>
          </w:tcPr>
          <w:p>
            <w:pPr>
              <w:spacing w:after="0"/>
              <w:rPr>
                <w:sz w:val="19"/>
                <w:szCs w:val="19"/>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 Two International GmbH</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Take-Two Talent, LLC</w:t>
            </w:r>
          </w:p>
        </w:tc>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1440" w:right="1440" w:bottom="1440" w:gutter="0" w:footer="0" w:header="0"/>
        </w:sectPr>
      </w:pPr>
    </w:p>
    <w:bookmarkStart w:id="268" w:name="page269"/>
    <w:bookmarkEnd w:id="268"/>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Take-Two UK Holdings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Take-Two Vegas,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Talonsoft,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Techcorp Ltd.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Gearbox Entertainment Company,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Venom Games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Venues I, LLC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Visual Concepts China Co., Ltd.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Visual Concepts Entertainment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Visual Concepts Hungary Kft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VLM Entertainment Group,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WC Holdco,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Zero Sum Teknoloji Yazilim ve Pazarlama Anonim Sirketi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ZINT HOLDINGS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Finland Oy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Game Canada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Game Ireland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Game Network India Private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Israel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Zynga Turkey Oyun Anonim Sirketi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Jurisdiction of Incorporation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Hungary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Turkey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Columbia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Israel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Turkey</w:t>
      </w:r>
    </w:p>
    <w:p>
      <w:pPr>
        <w:sectPr>
          <w:pgSz w:w="11900" w:h="16838" w:orient="portrait"/>
          <w:cols w:equalWidth="0" w:num="2">
            <w:col w:w="6880" w:space="720"/>
            <w:col w:w="2519"/>
          </w:cols>
          <w:pgMar w:left="340" w:top="1440" w:right="1440"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 (Form S-8 Nos. 333-158735, 333-177822, 333-191993, 333-198787, 333-214285, 333-220895, 333-248629, 333-249904, 333-260773, 333-265426 (as amended) and 333-274792, and Form S-3 Nos. 333-204318, 333-204339, 333-211473, 333-211474, 333-216019, 333-218235, 333-224284, 333-230884, 333-237656, 333-248617, 333-255207, 333-256811, 333-264270, 333-269607, 333-272315, 333-272333, 333-279922 and 333-284748) of Take-Two Interactive Software, Inc. of our reports dated May 20, 2025, with respect to the consolidated financial statements of Take-Two Interactive Software, Inc. and the effectiveness of internal control over financial reporting of Take-Two Interactive Software, Inc. included in this Annual Report (Form 10-K) of Take-Two Interactive Software, Inc. for the year ended March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2025</w:t>
      </w:r>
    </w:p>
    <w:p>
      <w:pPr>
        <w:sectPr>
          <w:pgSz w:w="11900" w:h="16838" w:orient="portrait"/>
          <w:cols w:equalWidth="0" w:num="1">
            <w:col w:w="11240"/>
          </w:cols>
          <w:pgMar w:left="320" w:top="1357"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TAKE-TWO INTERACTIVE SOFTWARE, INC. and SUBSIDIARIES</w:t>
      </w:r>
    </w:p>
    <w:p>
      <w:pPr>
        <w:spacing w:after="0" w:line="16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Strauss Zelnick, certify that:</w:t>
      </w:r>
    </w:p>
    <w:p>
      <w:pPr>
        <w:spacing w:after="0" w:line="178" w:lineRule="exact"/>
        <w:rPr>
          <w:sz w:val="20"/>
          <w:szCs w:val="20"/>
          <w:color w:val="auto"/>
        </w:rPr>
      </w:pPr>
    </w:p>
    <w:p>
      <w:pPr>
        <w:ind w:left="620" w:hanging="462"/>
        <w:spacing w:after="0"/>
        <w:tabs>
          <w:tab w:leader="none" w:pos="62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Take-Two Interactive Software, Inc. (the “registrant”);</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w:t>
      </w:r>
    </w:p>
    <w:p>
      <w:pPr>
        <w:spacing w:after="0" w:line="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material fact necessary to make the statements made, in light of the circumstances under which such statements were made, not misleading with respect to the period covered by this report;</w:t>
      </w:r>
    </w:p>
    <w:p>
      <w:pPr>
        <w:spacing w:after="0" w:line="194" w:lineRule="exact"/>
        <w:rPr>
          <w:sz w:val="20"/>
          <w:szCs w:val="20"/>
          <w:color w:val="auto"/>
        </w:rPr>
      </w:pPr>
    </w:p>
    <w:p>
      <w:pPr>
        <w:ind w:left="620" w:hanging="462"/>
        <w:spacing w:after="0"/>
        <w:tabs>
          <w:tab w:leader="none" w:pos="6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 in all material respects the financial condition, results of operations and cash flows of the registrant as of, and for, the periods presented in this report;</w:t>
      </w:r>
    </w:p>
    <w:p>
      <w:pPr>
        <w:spacing w:after="0" w:line="226" w:lineRule="exact"/>
        <w:rPr>
          <w:sz w:val="20"/>
          <w:szCs w:val="20"/>
          <w:color w:val="auto"/>
        </w:rPr>
      </w:pPr>
    </w:p>
    <w:p>
      <w:pPr>
        <w:ind w:left="620" w:hanging="462"/>
        <w:spacing w:after="0"/>
        <w:tabs>
          <w:tab w:leader="none" w:pos="62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w:t>
      </w:r>
    </w:p>
    <w:p>
      <w:pPr>
        <w:spacing w:after="0" w:line="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620" w:right="2680" w:hanging="307"/>
        <w:spacing w:after="0" w:line="264" w:lineRule="auto"/>
        <w:tabs>
          <w:tab w:leader="none" w:pos="616"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designed under our supervision, to provide reasonable assurance regarding the reliability of financial reporting and the preparation of financial</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statements for external purposes in accordance with generally</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accepted accounting principles;</w:t>
      </w:r>
    </w:p>
    <w:p>
      <w:pPr>
        <w:spacing w:after="0" w:line="226" w:lineRule="exact"/>
        <w:rPr>
          <w:sz w:val="20"/>
          <w:szCs w:val="20"/>
          <w:color w:val="auto"/>
        </w:rPr>
      </w:pPr>
    </w:p>
    <w:p>
      <w:pPr>
        <w:ind w:left="620" w:right="2920" w:hanging="307"/>
        <w:spacing w:after="0" w:line="270" w:lineRule="auto"/>
        <w:tabs>
          <w:tab w:leader="none" w:pos="616"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7"/>
          <w:szCs w:val="17"/>
          <w:color w:val="auto"/>
        </w:rPr>
      </w:pPr>
    </w:p>
    <w:p>
      <w:pPr>
        <w:ind w:left="620" w:right="3100" w:hanging="307"/>
        <w:spacing w:after="0" w:line="264" w:lineRule="auto"/>
        <w:tabs>
          <w:tab w:leader="none" w:pos="625"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7"/>
          <w:szCs w:val="17"/>
          <w:color w:val="auto"/>
        </w:rPr>
      </w:pPr>
    </w:p>
    <w:p>
      <w:pPr>
        <w:ind w:firstLine="158"/>
        <w:spacing w:after="0" w:line="287" w:lineRule="auto"/>
        <w:tabs>
          <w:tab w:leader="none" w:pos="557"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2960" w:hanging="307"/>
        <w:spacing w:after="0" w:line="270" w:lineRule="auto"/>
        <w:tabs>
          <w:tab w:leader="none" w:pos="606"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7"/>
          <w:szCs w:val="17"/>
          <w:color w:val="auto"/>
        </w:rPr>
      </w:pPr>
    </w:p>
    <w:p>
      <w:pPr>
        <w:ind w:left="620" w:right="2900" w:hanging="307"/>
        <w:spacing w:after="0" w:line="287" w:lineRule="auto"/>
        <w:tabs>
          <w:tab w:leader="none" w:pos="616"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140"/>
        <w:spacing w:after="0"/>
        <w:tabs>
          <w:tab w:leader="none" w:pos="5680" w:val="left"/>
        </w:tabs>
        <w:rPr>
          <w:sz w:val="20"/>
          <w:szCs w:val="20"/>
          <w:color w:val="auto"/>
        </w:rPr>
      </w:pPr>
      <w:r>
        <w:rPr>
          <w:rFonts w:ascii="Times New Roman" w:cs="Times New Roman" w:eastAsia="Times New Roman" w:hAnsi="Times New Roman"/>
          <w:sz w:val="17"/>
          <w:szCs w:val="17"/>
          <w:color w:val="auto"/>
        </w:rPr>
        <w:t>May 20, 2025</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213995</wp:posOffset>
            </wp:positionV>
            <wp:extent cx="30289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4">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33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Strauss Zelnick</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ectPr>
          <w:pgSz w:w="11900" w:h="16838" w:orient="portrait"/>
          <w:cols w:equalWidth="0" w:num="1">
            <w:col w:w="11240"/>
          </w:cols>
          <w:pgMar w:left="320" w:top="1189"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TAKE-TWO INTERACTIVE SOFTWARE, INC. and SUBSIDIARIES</w:t>
      </w:r>
    </w:p>
    <w:p>
      <w:pPr>
        <w:spacing w:after="0" w:line="16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 Lainie Goldstein, certify that:</w:t>
      </w:r>
    </w:p>
    <w:p>
      <w:pPr>
        <w:spacing w:after="0" w:line="217" w:lineRule="exact"/>
        <w:rPr>
          <w:sz w:val="20"/>
          <w:szCs w:val="20"/>
          <w:color w:val="auto"/>
        </w:rPr>
      </w:pPr>
    </w:p>
    <w:p>
      <w:pPr>
        <w:ind w:left="820" w:hanging="293"/>
        <w:spacing w:after="0"/>
        <w:tabs>
          <w:tab w:leader="none" w:pos="820"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Take-Two Interactive Software, Inc. (the “registrant”);</w:t>
      </w:r>
    </w:p>
    <w:p>
      <w:pPr>
        <w:spacing w:after="0" w:line="217" w:lineRule="exact"/>
        <w:rPr>
          <w:rFonts w:ascii="Times New Roman" w:cs="Times New Roman" w:eastAsia="Times New Roman" w:hAnsi="Times New Roman"/>
          <w:sz w:val="17"/>
          <w:szCs w:val="17"/>
          <w:color w:val="auto"/>
        </w:rPr>
      </w:pPr>
    </w:p>
    <w:p>
      <w:pPr>
        <w:ind w:left="60" w:firstLine="467"/>
        <w:spacing w:after="0" w:line="287" w:lineRule="auto"/>
        <w:tabs>
          <w:tab w:leader="none" w:pos="888"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0" w:firstLine="467"/>
        <w:spacing w:after="0" w:line="287" w:lineRule="auto"/>
        <w:tabs>
          <w:tab w:leader="none" w:pos="895"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0" w:firstLine="467"/>
        <w:spacing w:after="0" w:line="270" w:lineRule="auto"/>
        <w:tabs>
          <w:tab w:leader="none" w:pos="936"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760" w:hanging="310"/>
        <w:spacing w:after="0"/>
        <w:tabs>
          <w:tab w:leader="none" w:pos="76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w:t>
      </w:r>
    </w:p>
    <w:p>
      <w:pPr>
        <w:spacing w:after="0" w:line="28" w:lineRule="exact"/>
        <w:rPr>
          <w:sz w:val="20"/>
          <w:szCs w:val="20"/>
          <w:color w:val="auto"/>
        </w:rPr>
      </w:pPr>
    </w:p>
    <w:p>
      <w:pPr>
        <w:ind w:left="1060" w:right="2800"/>
        <w:spacing w:after="0" w:line="259" w:lineRule="auto"/>
        <w:rPr>
          <w:sz w:val="20"/>
          <w:szCs w:val="20"/>
          <w:color w:val="auto"/>
        </w:rPr>
      </w:pPr>
      <w:r>
        <w:rPr>
          <w:rFonts w:ascii="Times New Roman" w:cs="Times New Roman" w:eastAsia="Times New Roman" w:hAnsi="Times New Roman"/>
          <w:sz w:val="17"/>
          <w:szCs w:val="17"/>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7"/>
          <w:szCs w:val="17"/>
          <w:color w:val="auto"/>
        </w:rPr>
        <w:t>b)</w:t>
        <w:tab/>
        <w:t>designed such internal control over financial reporting, or caused such internal control over financial</w:t>
      </w:r>
    </w:p>
    <w:p>
      <w:pPr>
        <w:spacing w:after="0" w:line="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w:t>
      </w:r>
    </w:p>
    <w:p>
      <w:pPr>
        <w:spacing w:after="0" w:line="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financial statements for external purposes in accordance with</w:t>
      </w:r>
    </w:p>
    <w:p>
      <w:pPr>
        <w:spacing w:after="0" w:line="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generally accepted accounting principles;</w:t>
      </w:r>
    </w:p>
    <w:p>
      <w:pPr>
        <w:spacing w:after="0" w:line="226"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7"/>
          <w:szCs w:val="17"/>
          <w:color w:val="auto"/>
        </w:rPr>
        <w:t>c)</w:t>
        <w:tab/>
        <w:t>evaluated the effectiveness of the registrant’s disclosure controls and procedures and presented in this report</w:t>
      </w:r>
    </w:p>
    <w:p>
      <w:pPr>
        <w:spacing w:after="0" w:line="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our conclusions about the effectiveness of the disclosure controls and procedures, as of the end of the period</w:t>
      </w:r>
    </w:p>
    <w:p>
      <w:pPr>
        <w:spacing w:after="0" w:line="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covered by this report based on such evaluation; and</w:t>
      </w:r>
    </w:p>
    <w:p>
      <w:pPr>
        <w:spacing w:after="0" w:line="226" w:lineRule="exact"/>
        <w:rPr>
          <w:sz w:val="20"/>
          <w:szCs w:val="20"/>
          <w:color w:val="auto"/>
        </w:rPr>
      </w:pPr>
    </w:p>
    <w:p>
      <w:pPr>
        <w:jc w:val="both"/>
        <w:ind w:left="1060" w:right="2700" w:hanging="610"/>
        <w:spacing w:after="0" w:line="264" w:lineRule="auto"/>
        <w:tabs>
          <w:tab w:leader="none" w:pos="756"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ind w:left="60" w:firstLine="390"/>
        <w:spacing w:after="0" w:line="287" w:lineRule="auto"/>
        <w:tabs>
          <w:tab w:leader="none" w:pos="814"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1060" w:right="2860" w:hanging="610"/>
        <w:spacing w:after="0" w:line="270" w:lineRule="auto"/>
        <w:tabs>
          <w:tab w:leader="none" w:pos="73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7"/>
          <w:szCs w:val="17"/>
          <w:color w:val="auto"/>
        </w:rPr>
      </w:pPr>
    </w:p>
    <w:p>
      <w:pPr>
        <w:ind w:left="1060" w:right="3000" w:hanging="610"/>
        <w:spacing w:after="0" w:line="287" w:lineRule="auto"/>
        <w:tabs>
          <w:tab w:leader="none" w:pos="74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May 20, 2025</w:t>
      </w:r>
      <w:r>
        <w:rPr>
          <w:sz w:val="20"/>
          <w:szCs w:val="20"/>
          <w:color w:val="auto"/>
        </w:rPr>
        <w:tab/>
      </w:r>
      <w:r>
        <w:rPr>
          <w:rFonts w:ascii="Times New Roman" w:cs="Times New Roman" w:eastAsia="Times New Roman" w:hAnsi="Times New Roman"/>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213995</wp:posOffset>
            </wp:positionV>
            <wp:extent cx="33235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5">
                      <a:extLst>
                        <a:ext uri="{28A0092B-C50C-407E-A947-70E740481C1C}"/>
                      </a:extLst>
                    </a:blip>
                    <a:srcRect/>
                    <a:stretch>
                      <a:fillRect/>
                    </a:stretch>
                  </pic:blipFill>
                  <pic:spPr bwMode="auto">
                    <a:xfrm>
                      <a:off x="0" y="0"/>
                      <a:ext cx="3323590" cy="8255"/>
                    </a:xfrm>
                    <a:prstGeom prst="rect">
                      <a:avLst/>
                    </a:prstGeom>
                    <a:noFill/>
                  </pic:spPr>
                </pic:pic>
              </a:graphicData>
            </a:graphic>
          </wp:anchor>
        </w:drawing>
      </w:r>
    </w:p>
    <w:p>
      <w:pPr>
        <w:spacing w:after="0" w:line="3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Lainie Goldstein</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ectPr>
          <w:pgSz w:w="11900" w:h="16838" w:orient="portrait"/>
          <w:cols w:equalWidth="0" w:num="1">
            <w:col w:w="11300"/>
          </w:cols>
          <w:pgMar w:left="260" w:top="1189"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TAKE-TWO INTERACTIVE SOFTWARE,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18 U. S. C. SECTION 1350,</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Take-Two Interactive Software, Inc. (the “Company”) on Form 10-K for the period ended March 31, 2025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780" w:hanging="370"/>
        <w:spacing w:after="0"/>
        <w:tabs>
          <w:tab w:leader="none" w:pos="7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780" w:hanging="370"/>
        <w:spacing w:after="0"/>
        <w:tabs>
          <w:tab w:leader="none" w:pos="7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7"/>
          <w:szCs w:val="17"/>
          <w:color w:val="auto"/>
        </w:rPr>
        <w:t>May 20, 2025</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213995</wp:posOffset>
            </wp:positionV>
            <wp:extent cx="31356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6">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spacing w:after="0" w:line="3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Strauss Zelnick</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ectPr>
          <w:pgSz w:w="11900" w:h="16838" w:orient="portrait"/>
          <w:cols w:equalWidth="0" w:num="1">
            <w:col w:w="11260"/>
          </w:cols>
          <w:pgMar w:left="300" w:top="1189"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TAKE-TWO INTERACTIVE SOFTWARE,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18 U. S. C. SECTION 1350,</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Take-Two Interactive Software, Inc. (the “Company”) on Form 10-K for the period ended March 31, 2025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780" w:hanging="370"/>
        <w:spacing w:after="0"/>
        <w:tabs>
          <w:tab w:leader="none" w:pos="7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780" w:hanging="370"/>
        <w:spacing w:after="0"/>
        <w:tabs>
          <w:tab w:leader="none" w:pos="7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7"/>
          <w:szCs w:val="17"/>
          <w:color w:val="auto"/>
        </w:rPr>
        <w:t>May 20, 2025</w:t>
      </w:r>
      <w:r>
        <w:rPr>
          <w:sz w:val="20"/>
          <w:szCs w:val="20"/>
          <w:color w:val="auto"/>
        </w:rPr>
        <w:tab/>
      </w:r>
      <w:r>
        <w:rPr>
          <w:rFonts w:ascii="Times New Roman" w:cs="Times New Roman" w:eastAsia="Times New Roman" w:hAnsi="Times New Roman"/>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213995</wp:posOffset>
            </wp:positionV>
            <wp:extent cx="31356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7">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spacing w:after="0" w:line="3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Lainie Goldstein</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i w:val="1"/>
          <w:iCs w:val="1"/>
          <w:color w:val="auto"/>
        </w:rPr>
        <w:t>Chief Financial Officer</w:t>
      </w:r>
    </w:p>
    <w:sectPr>
      <w:pgSz w:w="11900" w:h="16838" w:orient="portrait"/>
      <w:cols w:equalWidth="0" w:num="1">
        <w:col w:w="11260"/>
      </w:cols>
      <w:pgMar w:left="300" w:top="11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
      <w:numFmt w:val="bullet"/>
      <w:start w:val="1"/>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
      <w:numFmt w:val="bullet"/>
      <w:start w:val="1"/>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1."/>
      <w:numFmt w:val="lowerLetter"/>
      <w:start w:val="1"/>
    </w:lvl>
  </w:abstractNum>
  <w:abstractNum w:abstractNumId="15">
    <w:nsid w:val="4DF72E4E"/>
    <w:multiLevelType w:val="hybridMultilevel"/>
    <w:lvl w:ilvl="0">
      <w:lvlJc w:val="left"/>
      <w:lvlText w:val="%1."/>
      <w:numFmt w:val="lowerLetter"/>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1)"/>
      <w:numFmt w:val="decimal"/>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1)"/>
      <w:numFmt w:val="lowerLetter"/>
      <w:start w:val="2"/>
    </w:lvl>
  </w:abstractNum>
  <w:abstractNum w:abstractNumId="20">
    <w:nsid w:val="19E21BB2"/>
    <w:multiLevelType w:val="hybridMultilevel"/>
    <w:lvl w:ilvl="0">
      <w:lvlJc w:val="left"/>
      <w:lvlText w:val="(%1)"/>
      <w:numFmt w:val="lowerLetter"/>
      <w:start w:val="1"/>
    </w:lvl>
    <w:lvl w:ilvl="1">
      <w:lvlJc w:val="left"/>
      <w:lvlText w:val="(%2)"/>
      <w:numFmt w:val="lowerRoman"/>
      <w:start w:val="1"/>
    </w:lvl>
  </w:abstractNum>
  <w:abstractNum w:abstractNumId="21">
    <w:nsid w:val="75E0858A"/>
    <w:multiLevelType w:val="hybridMultilevel"/>
    <w:lvl w:ilvl="0">
      <w:lvlJc w:val="left"/>
      <w:lvlText w:val="%1"/>
      <w:numFmt w:val="decimal"/>
      <w:start w:val="104"/>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1)"/>
      <w:numFmt w:val="decimal"/>
      <w:start w:val="1"/>
    </w:lvl>
  </w:abstractNum>
  <w:abstractNum w:abstractNumId="25">
    <w:nsid w:val="4427069A"/>
    <w:multiLevelType w:val="hybridMultilevel"/>
    <w:lvl w:ilvl="0">
      <w:lvlJc w:val="left"/>
      <w:lvlText w:val="%1."/>
      <w:numFmt w:val="decimal"/>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1."/>
      <w:numFmt w:val="decimal"/>
      <w:start w:val="2"/>
    </w:lvl>
  </w:abstractNum>
  <w:abstractNum w:abstractNumId="30">
    <w:nsid w:val="BFFAE18"/>
    <w:multiLevelType w:val="hybridMultilevel"/>
    <w:lvl w:ilvl="0">
      <w:lvlJc w:val="left"/>
      <w:lvlText w:val="%1."/>
      <w:numFmt w:val="decimal"/>
      <w:start w:val="3"/>
    </w:lvl>
  </w:abstractNum>
  <w:abstractNum w:abstractNumId="31">
    <w:nsid w:val="E3E47A8"/>
    <w:multiLevelType w:val="hybridMultilevel"/>
    <w:lvl w:ilvl="0">
      <w:lvlJc w:val="left"/>
      <w:lvlText w:val="%1."/>
      <w:numFmt w:val="decimal"/>
      <w:start w:val="4"/>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1."/>
      <w:numFmt w:val="decimal"/>
      <w:start w:val="6"/>
    </w:lvl>
  </w:abstractNum>
  <w:abstractNum w:abstractNumId="34">
    <w:nsid w:val="4BEE5A5B"/>
    <w:multiLevelType w:val="hybridMultilevel"/>
    <w:lvl w:ilvl="0">
      <w:lvlJc w:val="left"/>
      <w:lvlText w:val="%1."/>
      <w:numFmt w:val="decimal"/>
      <w:start w:val="7"/>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
      <w:numFmt w:val="bullet"/>
      <w:start w:val="1"/>
    </w:lvl>
  </w:abstractNum>
  <w:abstractNum w:abstractNumId="39">
    <w:nsid w:val="2A31B62D"/>
    <w:multiLevelType w:val="hybridMultilevel"/>
    <w:lvl w:ilvl="0">
      <w:lvlJc w:val="left"/>
      <w:lvlText w:val="(%1)"/>
      <w:numFmt w:val="decimal"/>
      <w:start w:val="1"/>
    </w:lvl>
  </w:abstractNum>
  <w:abstractNum w:abstractNumId="40">
    <w:nsid w:val="1849C29B"/>
    <w:multiLevelType w:val="hybridMultilevel"/>
    <w:lvl w:ilvl="0">
      <w:lvlJc w:val="left"/>
      <w:lvlText w:val="(%1)"/>
      <w:numFmt w:val="decimal"/>
      <w:start w:val="1"/>
    </w:lvl>
  </w:abstractNum>
  <w:abstractNum w:abstractNumId="41">
    <w:nsid w:val="7DFF9D09"/>
    <w:multiLevelType w:val="hybridMultilevel"/>
    <w:lvl w:ilvl="0">
      <w:lvlJc w:val="left"/>
      <w:lvlText w:val="(%1)"/>
      <w:numFmt w:val="decimal"/>
      <w:start w:val="1"/>
    </w:lvl>
  </w:abstractNum>
  <w:abstractNum w:abstractNumId="42">
    <w:nsid w:val="754342"/>
    <w:multiLevelType w:val="hybridMultilevel"/>
    <w:lvl w:ilvl="0">
      <w:lvlJc w:val="left"/>
      <w:lvlText w:val="%1."/>
      <w:numFmt w:val="decimal"/>
      <w:start w:val="16"/>
    </w:lvl>
  </w:abstractNum>
  <w:abstractNum w:abstractNumId="43">
    <w:nsid w:val="69E7F3E5"/>
    <w:multiLevelType w:val="hybridMultilevel"/>
    <w:lvl w:ilvl="0">
      <w:lvlJc w:val="left"/>
      <w:lvlText w:val="(%1)"/>
      <w:numFmt w:val="decimal"/>
      <w:start w:val="1"/>
    </w:lvl>
  </w:abstractNum>
  <w:abstractNum w:abstractNumId="44">
    <w:nsid w:val="2A6DE806"/>
    <w:multiLevelType w:val="hybridMultilevel"/>
    <w:lvl w:ilvl="0">
      <w:lvlJc w:val="left"/>
      <w:lvlText w:val="(%1)"/>
      <w:numFmt w:val="decimal"/>
      <w:start w:val="1"/>
    </w:lvl>
  </w:abstractNum>
  <w:abstractNum w:abstractNumId="45">
    <w:nsid w:val="1816F8C4"/>
    <w:multiLevelType w:val="hybridMultilevel"/>
    <w:lvl w:ilvl="0">
      <w:lvlJc w:val="left"/>
      <w:lvlText w:val="(%1)"/>
      <w:numFmt w:val="lowerLetter"/>
      <w:start w:val="1"/>
    </w:lvl>
  </w:abstractNum>
  <w:abstractNum w:abstractNumId="46">
    <w:nsid w:val="37DF2233"/>
    <w:multiLevelType w:val="hybridMultilevel"/>
    <w:lvl w:ilvl="0">
      <w:lvlJc w:val="left"/>
      <w:lvlText w:val="(%1)"/>
      <w:numFmt w:val="lowerLetter"/>
      <w:start w:val="1"/>
    </w:lvl>
  </w:abstractNum>
  <w:abstractNum w:abstractNumId="47">
    <w:nsid w:val="7AB49DAF"/>
    <w:multiLevelType w:val="hybridMultilevel"/>
    <w:lvl w:ilvl="0">
      <w:lvlJc w:val="left"/>
      <w:lvlText w:val="(%1)"/>
      <w:numFmt w:val="lowerLetter"/>
      <w:start w:val="3"/>
    </w:lvl>
  </w:abstractNum>
  <w:abstractNum w:abstractNumId="48">
    <w:nsid w:val="759F82CD"/>
    <w:multiLevelType w:val="hybridMultilevel"/>
    <w:lvl w:ilvl="0">
      <w:lvlJc w:val="left"/>
      <w:lvlText w:val="(%1)"/>
      <w:numFmt w:val="lowerLetter"/>
      <w:start w:val="1"/>
    </w:lvl>
  </w:abstractNum>
  <w:abstractNum w:abstractNumId="49">
    <w:nsid w:val="61E74EA3"/>
    <w:multiLevelType w:val="hybridMultilevel"/>
    <w:lvl w:ilvl="0">
      <w:lvlJc w:val="left"/>
      <w:lvlText w:val="(%1)"/>
      <w:numFmt w:val="lowerLetter"/>
      <w:start w:val="3"/>
    </w:lvl>
  </w:abstractNum>
  <w:abstractNum w:abstractNumId="50">
    <w:nsid w:val="597B4D84"/>
    <w:multiLevelType w:val="hybridMultilevel"/>
    <w:lvl w:ilvl="0">
      <w:lvlJc w:val="left"/>
      <w:lvlText w:val="(%1)"/>
      <w:numFmt w:val="lowerLetter"/>
      <w:start w:val="1"/>
    </w:lvl>
  </w:abstractNum>
  <w:abstractNum w:abstractNumId="51">
    <w:nsid w:val="F819E7F"/>
    <w:multiLevelType w:val="hybridMultilevel"/>
    <w:lvl w:ilvl="0">
      <w:lvlJc w:val="left"/>
      <w:lvlText w:val="(%1)"/>
      <w:numFmt w:val="lowerLetter"/>
      <w:start w:val="5"/>
    </w:lvl>
  </w:abstractNum>
  <w:abstractNum w:abstractNumId="52">
    <w:nsid w:val="57C7D42D"/>
    <w:multiLevelType w:val="hybridMultilevel"/>
    <w:lvl w:ilvl="0">
      <w:lvlJc w:val="left"/>
      <w:lvlText w:val="(%1)"/>
      <w:numFmt w:val="lowerLetter"/>
      <w:start w:val="2"/>
    </w:lvl>
  </w:abstractNum>
  <w:abstractNum w:abstractNumId="53">
    <w:nsid w:val="312167AD"/>
    <w:multiLevelType w:val="hybridMultilevel"/>
    <w:lvl w:ilvl="0">
      <w:lvlJc w:val="left"/>
      <w:lvlText w:val="(%1)"/>
      <w:numFmt w:val="decimal"/>
      <w:start w:val="1"/>
    </w:lvl>
  </w:abstractNum>
  <w:abstractNum w:abstractNumId="54">
    <w:nsid w:val="631B64D4"/>
    <w:multiLevelType w:val="hybridMultilevel"/>
    <w:lvl w:ilvl="0">
      <w:lvlJc w:val="left"/>
      <w:lvlText w:val="(%1)"/>
      <w:numFmt w:val="decimal"/>
      <w:start w:val="1"/>
    </w:lvl>
  </w:abstractNum>
  <w:abstractNum w:abstractNumId="55">
    <w:nsid w:val="78B5E776"/>
    <w:multiLevelType w:val="hybridMultilevel"/>
    <w:lvl w:ilvl="0">
      <w:lvlJc w:val="left"/>
      <w:lvlText w:val="(%1)"/>
      <w:numFmt w:val="decimal"/>
      <w:start w:val="1"/>
    </w:lvl>
  </w:abstractNum>
  <w:abstractNum w:abstractNumId="56">
    <w:nsid w:val="75486E47"/>
    <w:multiLevelType w:val="hybridMultilevel"/>
    <w:lvl w:ilvl="0">
      <w:lvlJc w:val="left"/>
      <w:lvlText w:val="(%1)"/>
      <w:numFmt w:val="lowerLetter"/>
      <w:start w:val="3"/>
    </w:lvl>
  </w:abstractNum>
  <w:abstractNum w:abstractNumId="57">
    <w:nsid w:val="6E534CDE"/>
    <w:multiLevelType w:val="hybridMultilevel"/>
    <w:lvl w:ilvl="0">
      <w:lvlJc w:val="left"/>
      <w:lvlText w:val="(%1)"/>
      <w:numFmt w:val="lowerLetter"/>
      <w:start w:val="20"/>
    </w:lvl>
  </w:abstractNum>
  <w:abstractNum w:abstractNumId="58">
    <w:nsid w:val="1A0DDE32"/>
    <w:multiLevelType w:val="hybridMultilevel"/>
    <w:lvl w:ilvl="0">
      <w:lvlJc w:val="left"/>
      <w:lvlText w:val="(%1)"/>
      <w:numFmt w:val="lowerLetter"/>
      <w:start w:val="20"/>
    </w:lvl>
  </w:abstractNum>
  <w:abstractNum w:abstractNumId="59">
    <w:nsid w:val="65968C1C"/>
    <w:multiLevelType w:val="hybridMultilevel"/>
    <w:lvl w:ilvl="0">
      <w:lvlJc w:val="left"/>
      <w:lvlText w:val="(%1)"/>
      <w:numFmt w:val="lowerRoman"/>
      <w:start w:val="1"/>
    </w:lvl>
  </w:abstractNum>
  <w:abstractNum w:abstractNumId="60">
    <w:nsid w:val="46263DEC"/>
    <w:multiLevelType w:val="hybridMultilevel"/>
    <w:lvl w:ilvl="0">
      <w:lvlJc w:val="left"/>
      <w:lvlText w:val="(%1)"/>
      <w:numFmt w:val="lowerLetter"/>
      <w:start w:val="1"/>
    </w:lvl>
  </w:abstractNum>
  <w:abstractNum w:abstractNumId="61">
    <w:nsid w:val="260D8C4A"/>
    <w:multiLevelType w:val="hybridMultilevel"/>
    <w:lvl w:ilvl="0">
      <w:lvlJc w:val="left"/>
      <w:lvlText w:val="(%1)"/>
      <w:numFmt w:val="lowerLetter"/>
      <w:start w:val="3"/>
    </w:lvl>
  </w:abstractNum>
  <w:abstractNum w:abstractNumId="62">
    <w:nsid w:val="73D4D3C4"/>
    <w:multiLevelType w:val="hybridMultilevel"/>
    <w:lvl w:ilvl="0">
      <w:lvlJc w:val="left"/>
      <w:lvlText w:val="(%1)"/>
      <w:numFmt w:val="decimal"/>
      <w:start w:val="2"/>
    </w:lvl>
  </w:abstractNum>
  <w:abstractNum w:abstractNumId="63">
    <w:nsid w:val="746F2E30"/>
    <w:multiLevelType w:val="hybridMultilevel"/>
    <w:lvl w:ilvl="0">
      <w:lvlJc w:val="left"/>
      <w:lvlText w:val="(%1)"/>
      <w:numFmt w:val="lowerLetter"/>
      <w:start w:val="1"/>
    </w:lvl>
  </w:abstractNum>
  <w:abstractNum w:abstractNumId="64">
    <w:nsid w:val="6FDE8AF6"/>
    <w:multiLevelType w:val="hybridMultilevel"/>
    <w:lvl w:ilvl="0">
      <w:lvlJc w:val="left"/>
      <w:lvlText w:val="%1"/>
      <w:numFmt w:val="lowerLetter"/>
      <w:start w:val="1"/>
    </w:lvl>
    <w:lvl w:ilvl="1">
      <w:lvlJc w:val="left"/>
      <w:lvlText w:val="(%2)"/>
      <w:numFmt w:val="lowerLetter"/>
      <w:start w:val="1"/>
    </w:lvl>
  </w:abstractNum>
  <w:abstractNum w:abstractNumId="65">
    <w:nsid w:val="3FC32E20"/>
    <w:multiLevelType w:val="hybridMultilevel"/>
    <w:lvl w:ilvl="0">
      <w:lvlJc w:val="left"/>
      <w:lvlText w:val="(%1)"/>
      <w:numFmt w:val="lowerLetter"/>
      <w:start w:val="35"/>
    </w:lvl>
    <w:lvl w:ilvl="1">
      <w:lvlJc w:val="left"/>
      <w:lvlText w:val="(%2)"/>
      <w:numFmt w:val="lowerLetter"/>
      <w:start w:val="8"/>
    </w:lvl>
  </w:abstractNum>
  <w:abstractNum w:abstractNumId="66">
    <w:nsid w:val="49C0E823"/>
    <w:multiLevelType w:val="hybridMultilevel"/>
    <w:lvl w:ilvl="0">
      <w:lvlJc w:val="left"/>
      <w:lvlText w:val="(%1)"/>
      <w:numFmt w:val="lowerRoman"/>
      <w:start w:val="2"/>
    </w:lvl>
  </w:abstractNum>
  <w:abstractNum w:abstractNumId="67">
    <w:nsid w:val="14D53685"/>
    <w:multiLevelType w:val="hybridMultilevel"/>
    <w:lvl w:ilvl="0">
      <w:lvlJc w:val="left"/>
      <w:lvlText w:val="(%1)"/>
      <w:numFmt w:val="lowerLetter"/>
      <w:start w:val="1"/>
    </w:lvl>
  </w:abstractNum>
  <w:abstractNum w:abstractNumId="68">
    <w:nsid w:val="230F856C"/>
    <w:multiLevelType w:val="hybridMultilevel"/>
    <w:lvl w:ilvl="0">
      <w:lvlJc w:val="left"/>
      <w:lvlText w:val="(%1)"/>
      <w:numFmt w:val="lowerLetter"/>
      <w:start w:val="2"/>
    </w:lvl>
  </w:abstractNum>
  <w:abstractNum w:abstractNumId="69">
    <w:nsid w:val="6EAA85FB"/>
    <w:multiLevelType w:val="hybridMultilevel"/>
    <w:lvl w:ilvl="0">
      <w:lvlJc w:val="left"/>
      <w:lvlText w:val="(%1)"/>
      <w:numFmt w:val="lowerLetter"/>
      <w:start w:val="1"/>
    </w:lvl>
  </w:abstractNum>
  <w:abstractNum w:abstractNumId="70">
    <w:nsid w:val="3F06ECB2"/>
    <w:multiLevelType w:val="hybridMultilevel"/>
    <w:lvl w:ilvl="0">
      <w:lvlJc w:val="left"/>
      <w:lvlText w:val="(%1)"/>
      <w:numFmt w:val="lowerRoman"/>
      <w:start w:val="1"/>
    </w:lvl>
  </w:abstractNum>
  <w:abstractNum w:abstractNumId="71">
    <w:nsid w:val="3B594807"/>
    <w:multiLevelType w:val="hybridMultilevel"/>
    <w:lvl w:ilvl="0">
      <w:lvlJc w:val="left"/>
      <w:lvlText w:val="(%1)"/>
      <w:numFmt w:val="lowerLetter"/>
      <w:start w:val="1"/>
    </w:lvl>
  </w:abstractNum>
  <w:abstractNum w:abstractNumId="72">
    <w:nsid w:val="6CAA2304"/>
    <w:multiLevelType w:val="hybridMultilevel"/>
    <w:lvl w:ilvl="0">
      <w:lvlJc w:val="left"/>
      <w:lvlText w:val="%1"/>
      <w:numFmt w:val="lowerLetter"/>
      <w:start w:val="1"/>
    </w:lvl>
    <w:lvl w:ilvl="1">
      <w:lvlJc w:val="left"/>
      <w:lvlText w:val="(%2)"/>
      <w:numFmt w:val="lowerLetter"/>
      <w:start w:val="1"/>
    </w:lvl>
  </w:abstractNum>
  <w:abstractNum w:abstractNumId="73">
    <w:nsid w:val="3F7C2FF4"/>
    <w:multiLevelType w:val="hybridMultilevel"/>
    <w:lvl w:ilvl="0">
      <w:lvlJc w:val="left"/>
      <w:lvlText w:val="(%1)"/>
      <w:numFmt w:val="lowerLetter"/>
      <w:start w:val="2"/>
    </w:lvl>
    <w:lvl w:ilvl="1">
      <w:lvlJc w:val="left"/>
      <w:lvlText w:val="(%2)"/>
      <w:numFmt w:val="lowerLetter"/>
      <w:start w:val="3"/>
    </w:lvl>
  </w:abstractNum>
  <w:abstractNum w:abstractNumId="74">
    <w:nsid w:val="25413BEC"/>
    <w:multiLevelType w:val="hybridMultilevel"/>
    <w:lvl w:ilvl="0">
      <w:lvlJc w:val="left"/>
      <w:lvlText w:val="(%1)"/>
      <w:numFmt w:val="lowerLetter"/>
      <w:start w:val="4"/>
    </w:lvl>
  </w:abstractNum>
  <w:abstractNum w:abstractNumId="75">
    <w:nsid w:val="17180B0B"/>
    <w:multiLevelType w:val="hybridMultilevel"/>
    <w:lvl w:ilvl="0">
      <w:lvlJc w:val="left"/>
      <w:lvlText w:val="(%1)"/>
      <w:numFmt w:val="lowerLetter"/>
      <w:start w:val="6"/>
    </w:lvl>
  </w:abstractNum>
  <w:abstractNum w:abstractNumId="76">
    <w:nsid w:val="579328B9"/>
    <w:multiLevelType w:val="hybridMultilevel"/>
    <w:lvl w:ilvl="0">
      <w:lvlJc w:val="left"/>
      <w:lvlText w:val="%1"/>
      <w:numFmt w:val="lowerRoman"/>
      <w:start w:val="1"/>
    </w:lvl>
    <w:lvl w:ilvl="1">
      <w:lvlJc w:val="left"/>
      <w:lvlText w:val="(%2)"/>
      <w:numFmt w:val="lowerRoman"/>
      <w:start w:val="1"/>
    </w:lvl>
  </w:abstractNum>
  <w:abstractNum w:abstractNumId="77">
    <w:nsid w:val="5D205E20"/>
    <w:multiLevelType w:val="hybridMultilevel"/>
    <w:lvl w:ilvl="0">
      <w:lvlJc w:val="left"/>
      <w:lvlText w:val="(%1)"/>
      <w:numFmt w:val="lowerRoman"/>
      <w:start w:val="2"/>
    </w:lvl>
    <w:lvl w:ilvl="1">
      <w:lvlJc w:val="left"/>
      <w:lvlText w:val="%2"/>
      <w:numFmt w:val="lowerRoman"/>
      <w:start w:val="1"/>
    </w:lvl>
  </w:abstractNum>
  <w:abstractNum w:abstractNumId="78">
    <w:nsid w:val="11CCA8BA"/>
    <w:multiLevelType w:val="hybridMultilevel"/>
    <w:lvl w:ilvl="0">
      <w:lvlJc w:val="left"/>
      <w:lvlText w:val="%1"/>
      <w:numFmt w:val="lowerLetter"/>
      <w:start w:val="1"/>
    </w:lvl>
    <w:lvl w:ilvl="1">
      <w:lvlJc w:val="left"/>
      <w:lvlText w:val="(%2)"/>
      <w:numFmt w:val="lowerLetter"/>
      <w:start w:val="10"/>
    </w:lvl>
  </w:abstractNum>
  <w:abstractNum w:abstractNumId="79">
    <w:nsid w:val="4D32AB86"/>
    <w:multiLevelType w:val="hybridMultilevel"/>
    <w:lvl w:ilvl="0">
      <w:lvlJc w:val="left"/>
      <w:lvlText w:val="(%1)"/>
      <w:numFmt w:val="lowerLetter"/>
      <w:start w:val="9"/>
    </w:lvl>
    <w:lvl w:ilvl="1">
      <w:lvlJc w:val="left"/>
      <w:lvlText w:val="(%2)"/>
      <w:numFmt w:val="lowerLetter"/>
      <w:start w:val="11"/>
    </w:lvl>
  </w:abstractNum>
  <w:abstractNum w:abstractNumId="80">
    <w:nsid w:val="3F07ACC3"/>
    <w:multiLevelType w:val="hybridMultilevel"/>
    <w:lvl w:ilvl="0">
      <w:lvlJc w:val="left"/>
      <w:lvlText w:val="(%1)"/>
      <w:numFmt w:val="lowerLetter"/>
      <w:start w:val="12"/>
    </w:lvl>
  </w:abstractNum>
  <w:abstractNum w:abstractNumId="81">
    <w:nsid w:val="6B47F63E"/>
    <w:multiLevelType w:val="hybridMultilevel"/>
    <w:lvl w:ilvl="0">
      <w:lvlJc w:val="left"/>
      <w:lvlText w:val="(%1)"/>
      <w:numFmt w:val="lowerLetter"/>
      <w:start w:val="1"/>
    </w:lvl>
  </w:abstractNum>
  <w:abstractNum w:abstractNumId="82">
    <w:nsid w:val="5CB44A05"/>
    <w:multiLevelType w:val="hybridMultilevel"/>
    <w:lvl w:ilvl="0">
      <w:lvlJc w:val="left"/>
      <w:lvlText w:val="(%1)"/>
      <w:numFmt w:val="lowerLetter"/>
      <w:start w:val="1"/>
    </w:lvl>
  </w:abstractNum>
  <w:abstractNum w:abstractNumId="83">
    <w:nsid w:val="16CF80F1"/>
    <w:multiLevelType w:val="hybridMultilevel"/>
    <w:lvl w:ilvl="0">
      <w:lvlJc w:val="left"/>
      <w:lvlText w:val="(%1)"/>
      <w:numFmt w:val="lowerRoman"/>
      <w:start w:val="1"/>
    </w:lvl>
  </w:abstractNum>
  <w:abstractNum w:abstractNumId="84">
    <w:nsid w:val="1C695DEC"/>
    <w:multiLevelType w:val="hybridMultilevel"/>
    <w:lvl w:ilvl="0">
      <w:lvlJc w:val="left"/>
      <w:lvlText w:val="(%1)"/>
      <w:numFmt w:val="lowerLetter"/>
      <w:start w:val="3"/>
    </w:lvl>
  </w:abstractNum>
  <w:abstractNum w:abstractNumId="85">
    <w:nsid w:val="3FCFAED9"/>
    <w:multiLevelType w:val="hybridMultilevel"/>
    <w:lvl w:ilvl="0">
      <w:lvlJc w:val="left"/>
      <w:lvlText w:val="(%1)"/>
      <w:numFmt w:val="lowerLetter"/>
      <w:start w:val="5"/>
    </w:lvl>
  </w:abstractNum>
  <w:abstractNum w:abstractNumId="86">
    <w:nsid w:val="F856867"/>
    <w:multiLevelType w:val="hybridMultilevel"/>
    <w:lvl w:ilvl="0">
      <w:lvlJc w:val="left"/>
      <w:lvlText w:val="(%1)"/>
      <w:numFmt w:val="lowerLetter"/>
      <w:start w:val="1"/>
    </w:lvl>
  </w:abstractNum>
  <w:abstractNum w:abstractNumId="87">
    <w:nsid w:val="11B1CC33"/>
    <w:multiLevelType w:val="hybridMultilevel"/>
    <w:lvl w:ilvl="0">
      <w:lvlJc w:val="left"/>
      <w:lvlText w:val="(%1)"/>
      <w:numFmt w:val="lowerLetter"/>
      <w:start w:val="1"/>
    </w:lvl>
  </w:abstractNum>
  <w:abstractNum w:abstractNumId="88">
    <w:nsid w:val="2E22FBB7"/>
    <w:multiLevelType w:val="hybridMultilevel"/>
    <w:lvl w:ilvl="0">
      <w:lvlJc w:val="left"/>
      <w:lvlText w:val="(%1)"/>
      <w:numFmt w:val="lowerLetter"/>
      <w:start w:val="2"/>
    </w:lvl>
  </w:abstractNum>
  <w:abstractNum w:abstractNumId="89">
    <w:nsid w:val="29934699"/>
    <w:multiLevelType w:val="hybridMultilevel"/>
    <w:lvl w:ilvl="0">
      <w:lvlJc w:val="left"/>
      <w:lvlText w:val="%1"/>
      <w:numFmt w:val="lowerLetter"/>
      <w:start w:val="1"/>
    </w:lvl>
    <w:lvl w:ilvl="1">
      <w:lvlJc w:val="left"/>
      <w:lvlText w:val="(%2)"/>
      <w:numFmt w:val="lowerLetter"/>
      <w:start w:val="1"/>
    </w:lvl>
  </w:abstractNum>
  <w:abstractNum w:abstractNumId="90">
    <w:nsid w:val="77485850"/>
    <w:multiLevelType w:val="hybridMultilevel"/>
    <w:lvl w:ilvl="0">
      <w:lvlJc w:val="left"/>
      <w:lvlText w:val="(%1)"/>
      <w:numFmt w:val="lowerLetter"/>
      <w:start w:val="9"/>
    </w:lvl>
    <w:lvl w:ilvl="1">
      <w:lvlJc w:val="left"/>
      <w:lvlText w:val="(%2)"/>
      <w:numFmt w:val="lowerLetter"/>
      <w:start w:val="2"/>
    </w:lvl>
  </w:abstractNum>
  <w:abstractNum w:abstractNumId="91">
    <w:nsid w:val="744939A3"/>
    <w:multiLevelType w:val="hybridMultilevel"/>
    <w:lvl w:ilvl="0">
      <w:lvlJc w:val="left"/>
      <w:lvlText w:val="(%1)"/>
      <w:numFmt w:val="lowerLetter"/>
      <w:start w:val="1"/>
    </w:lvl>
  </w:abstractNum>
  <w:abstractNum w:abstractNumId="92">
    <w:nsid w:val="4FA0D2E3"/>
    <w:multiLevelType w:val="hybridMultilevel"/>
    <w:lvl w:ilvl="0">
      <w:lvlJc w:val="left"/>
      <w:lvlText w:val="(%1)"/>
      <w:numFmt w:val="lowerLetter"/>
      <w:start w:val="1"/>
    </w:lvl>
  </w:abstractNum>
  <w:abstractNum w:abstractNumId="93">
    <w:nsid w:val="6B1D2C1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4">
    <w:nsid w:val="68B867D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95">
    <w:nsid w:val="3F7F5DD9"/>
    <w:multiLevelType w:val="hybridMultilevel"/>
    <w:lvl w:ilvl="0">
      <w:lvlJc w:val="left"/>
      <w:lvlText w:val="(%1)"/>
      <w:numFmt w:val="lowerLetter"/>
      <w:start w:val="2"/>
    </w:lvl>
  </w:abstractNum>
  <w:abstractNum w:abstractNumId="96">
    <w:nsid w:val="2AE05A34"/>
    <w:multiLevelType w:val="hybridMultilevel"/>
    <w:lvl w:ilvl="0">
      <w:lvlJc w:val="left"/>
      <w:lvlText w:val="(%1)"/>
      <w:numFmt w:val="lowerLetter"/>
      <w:start w:val="6"/>
    </w:lvl>
  </w:abstractNum>
  <w:abstractNum w:abstractNumId="97">
    <w:nsid w:val="32794FF7"/>
    <w:multiLevelType w:val="hybridMultilevel"/>
    <w:lvl w:ilvl="0">
      <w:lvlJc w:val="left"/>
      <w:lvlText w:val="(%1)"/>
      <w:numFmt w:val="lowerRoman"/>
      <w:start w:val="1"/>
    </w:lvl>
  </w:abstractNum>
  <w:abstractNum w:abstractNumId="98">
    <w:nsid w:val="5454945E"/>
    <w:multiLevelType w:val="hybridMultilevel"/>
    <w:lvl w:ilvl="0">
      <w:lvlJc w:val="left"/>
      <w:lvlText w:val="(%1)"/>
      <w:numFmt w:val="lowerLetter"/>
      <w:start w:val="1"/>
    </w:lvl>
  </w:abstractNum>
  <w:abstractNum w:abstractNumId="99">
    <w:nsid w:val="4DEFDFA0"/>
    <w:multiLevelType w:val="hybridMultilevel"/>
    <w:lvl w:ilvl="0">
      <w:lvlJc w:val="left"/>
      <w:lvlText w:val="(%1)"/>
      <w:numFmt w:val="lowerRoman"/>
      <w:start w:val="4"/>
    </w:lvl>
    <w:lvl w:ilvl="1">
      <w:lvlJc w:val="left"/>
      <w:lvlText w:val="(%2)"/>
      <w:numFmt w:val="lowerLetter"/>
      <w:start w:val="1"/>
    </w:lvl>
  </w:abstractNum>
  <w:abstractNum w:abstractNumId="100">
    <w:nsid w:val="2123D5F2"/>
    <w:multiLevelType w:val="hybridMultilevel"/>
    <w:lvl w:ilvl="0">
      <w:lvlJc w:val="left"/>
      <w:lvlText w:val="(%1)"/>
      <w:numFmt w:val="lowerLetter"/>
      <w:start w:val="1"/>
    </w:lvl>
  </w:abstractNum>
  <w:abstractNum w:abstractNumId="101">
    <w:nsid w:val="135B8110"/>
    <w:multiLevelType w:val="hybridMultilevel"/>
    <w:lvl w:ilvl="0">
      <w:lvlJc w:val="left"/>
      <w:lvlText w:val="(%1)"/>
      <w:numFmt w:val="lowerLetter"/>
      <w:start w:val="4"/>
    </w:lvl>
  </w:abstractNum>
  <w:abstractNum w:abstractNumId="102">
    <w:nsid w:val="94927A8"/>
    <w:multiLevelType w:val="hybridMultilevel"/>
    <w:lvl w:ilvl="0">
      <w:lvlJc w:val="left"/>
      <w:lvlText w:val="(%1)"/>
      <w:numFmt w:val="lowerRoman"/>
      <w:start w:val="1"/>
    </w:lvl>
    <w:lvl w:ilvl="1">
      <w:lvlJc w:val="left"/>
      <w:lvlText w:val="(%2)"/>
      <w:numFmt w:val="upperLetter"/>
      <w:start w:val="1"/>
    </w:lvl>
  </w:abstractNum>
  <w:abstractNum w:abstractNumId="103">
    <w:nsid w:val="DCDF8F6"/>
    <w:multiLevelType w:val="hybridMultilevel"/>
    <w:lvl w:ilvl="0">
      <w:lvlJc w:val="left"/>
      <w:lvlText w:val="(%1)"/>
      <w:numFmt w:val="decimal"/>
      <w:start w:val="1"/>
    </w:lvl>
  </w:abstractNum>
  <w:abstractNum w:abstractNumId="104">
    <w:nsid w:val="52D7B105"/>
    <w:multiLevelType w:val="hybridMultilevel"/>
    <w:lvl w:ilvl="0">
      <w:lvlJc w:val="left"/>
      <w:lvlText w:val="(%1)"/>
      <w:numFmt w:val="decimal"/>
      <w:start w:val="4"/>
    </w:lvl>
  </w:abstractNum>
  <w:abstractNum w:abstractNumId="105">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6">
    <w:nsid w:val="24E60401"/>
    <w:multiLevelType w:val="hybridMultilevel"/>
    <w:lvl w:ilvl="0">
      <w:lvlJc w:val="left"/>
      <w:lvlText w:val="(%1)"/>
      <w:numFmt w:val="lowerLetter"/>
      <w:start w:val="35"/>
    </w:lvl>
    <w:lvl w:ilvl="1">
      <w:lvlJc w:val="left"/>
      <w:lvlText w:val="(%2)"/>
      <w:numFmt w:val="lowerLetter"/>
      <w:start w:val="6"/>
    </w:lvl>
    <w:lvl w:ilvl="2">
      <w:lvlJc w:val="left"/>
      <w:lvlText w:val="%3"/>
      <w:numFmt w:val="upperLetter"/>
      <w:start w:val="1"/>
    </w:lvl>
  </w:abstractNum>
  <w:abstractNum w:abstractNumId="107">
    <w:nsid w:val="2A6AD9BE"/>
    <w:multiLevelType w:val="hybridMultilevel"/>
    <w:lvl w:ilvl="0">
      <w:lvlJc w:val="left"/>
      <w:lvlText w:val="(%1)"/>
      <w:numFmt w:val="lowerLetter"/>
      <w:start w:val="7"/>
    </w:lvl>
  </w:abstractNum>
  <w:abstractNum w:abstractNumId="108">
    <w:nsid w:val="BAAC1B4"/>
    <w:multiLevelType w:val="hybridMultilevel"/>
    <w:lvl w:ilvl="0">
      <w:lvlJc w:val="left"/>
      <w:lvlText w:val="(%1)"/>
      <w:numFmt w:val="lowerLetter"/>
      <w:start w:val="1"/>
    </w:lvl>
  </w:abstractNum>
  <w:abstractNum w:abstractNumId="109">
    <w:nsid w:val="36B2ACBC"/>
    <w:multiLevelType w:val="hybridMultilevel"/>
    <w:lvl w:ilvl="0">
      <w:lvlJc w:val="left"/>
      <w:lvlText w:val="(%1)"/>
      <w:numFmt w:val="lowerLetter"/>
      <w:start w:val="35"/>
    </w:lvl>
    <w:lvl w:ilvl="1">
      <w:lvlJc w:val="left"/>
      <w:lvlText w:val="(%2)"/>
      <w:numFmt w:val="lowerLetter"/>
      <w:start w:val="3"/>
    </w:lvl>
  </w:abstractNum>
  <w:abstractNum w:abstractNumId="110">
    <w:nsid w:val="779D8544"/>
    <w:multiLevelType w:val="hybridMultilevel"/>
    <w:lvl w:ilvl="0">
      <w:lvlJc w:val="left"/>
      <w:lvlText w:val="(%1)"/>
      <w:numFmt w:val="lowerLetter"/>
      <w:start w:val="1"/>
    </w:lvl>
  </w:abstractNum>
  <w:abstractNum w:abstractNumId="111">
    <w:nsid w:val="4AB26E78"/>
    <w:multiLevelType w:val="hybridMultilevel"/>
    <w:lvl w:ilvl="0">
      <w:lvlJc w:val="left"/>
      <w:lvlText w:val="(%1)"/>
      <w:numFmt w:val="lowerLetter"/>
      <w:start w:val="2"/>
    </w:lvl>
  </w:abstractNum>
  <w:abstractNum w:abstractNumId="112">
    <w:nsid w:val="21FAA2FA"/>
    <w:multiLevelType w:val="hybridMultilevel"/>
    <w:lvl w:ilvl="0">
      <w:lvlJc w:val="left"/>
      <w:lvlText w:val="(%1)"/>
      <w:numFmt w:val="lowerLetter"/>
      <w:start w:val="3"/>
    </w:lvl>
  </w:abstractNum>
  <w:abstractNum w:abstractNumId="113">
    <w:nsid w:val="5451CF49"/>
    <w:multiLevelType w:val="hybridMultilevel"/>
    <w:lvl w:ilvl="0">
      <w:lvlJc w:val="left"/>
      <w:lvlText w:val="%1"/>
      <w:numFmt w:val="lowerLetter"/>
      <w:start w:val="1"/>
    </w:lvl>
    <w:lvl w:ilvl="1">
      <w:lvlJc w:val="left"/>
      <w:lvlText w:val="(%2)"/>
      <w:numFmt w:val="lowerLetter"/>
      <w:start w:val="9"/>
    </w:lvl>
  </w:abstractNum>
  <w:abstractNum w:abstractNumId="114">
    <w:nsid w:val="6181EF69"/>
    <w:multiLevelType w:val="hybridMultilevel"/>
    <w:lvl w:ilvl="0">
      <w:lvlJc w:val="left"/>
      <w:lvlText w:val="(%1)"/>
      <w:numFmt w:val="lowerLetter"/>
      <w:start w:val="25"/>
    </w:lvl>
    <w:lvl w:ilvl="1">
      <w:lvlJc w:val="left"/>
      <w:lvlText w:val="(%2)"/>
      <w:numFmt w:val="lowerLetter"/>
      <w:start w:val="35"/>
    </w:lvl>
  </w:abstractNum>
  <w:abstractNum w:abstractNumId="115">
    <w:nsid w:val="3E6400E6"/>
    <w:multiLevelType w:val="hybridMultilevel"/>
    <w:lvl w:ilvl="0">
      <w:lvlJc w:val="left"/>
      <w:lvlText w:val="(%1)"/>
      <w:numFmt w:val="lowerRoman"/>
      <w:start w:val="3"/>
    </w:lvl>
  </w:abstractNum>
  <w:abstractNum w:abstractNumId="116">
    <w:nsid w:val="14217E23"/>
    <w:multiLevelType w:val="hybridMultilevel"/>
    <w:lvl w:ilvl="0">
      <w:lvlJc w:val="left"/>
      <w:lvlText w:val="(%1)"/>
      <w:numFmt w:val="lowerLetter"/>
      <w:start w:val="5"/>
    </w:lvl>
  </w:abstractNum>
  <w:abstractNum w:abstractNumId="117">
    <w:nsid w:val="710757D0"/>
    <w:multiLevelType w:val="hybridMultilevel"/>
    <w:lvl w:ilvl="0">
      <w:lvlJc w:val="left"/>
      <w:lvlText w:val="(%1)"/>
      <w:numFmt w:val="lowerLetter"/>
      <w:start w:val="2"/>
    </w:lvl>
  </w:abstractNum>
  <w:abstractNum w:abstractNumId="118">
    <w:nsid w:val="5015CD1A"/>
    <w:multiLevelType w:val="hybridMultilevel"/>
    <w:lvl w:ilvl="0">
      <w:lvlJc w:val="left"/>
      <w:lvlText w:val="(%1)"/>
      <w:numFmt w:val="lowerRoman"/>
      <w:start w:val="2"/>
    </w:lvl>
  </w:abstractNum>
  <w:abstractNum w:abstractNumId="119">
    <w:nsid w:val="424479DA"/>
    <w:multiLevelType w:val="hybridMultilevel"/>
    <w:lvl w:ilvl="0">
      <w:lvlJc w:val="left"/>
      <w:lvlText w:val="(%1)"/>
      <w:numFmt w:val="lowerLetter"/>
      <w:start w:val="3"/>
    </w:lvl>
  </w:abstractNum>
  <w:abstractNum w:abstractNumId="120">
    <w:nsid w:val="1A9A9E69"/>
    <w:multiLevelType w:val="hybridMultilevel"/>
    <w:lvl w:ilvl="0">
      <w:lvlJc w:val="left"/>
      <w:lvlText w:val="(%1)"/>
      <w:numFmt w:val="lowerLetter"/>
      <w:start w:val="2"/>
    </w:lvl>
  </w:abstractNum>
  <w:abstractNum w:abstractNumId="121">
    <w:nsid w:val="475E256A"/>
    <w:multiLevelType w:val="hybridMultilevel"/>
    <w:lvl w:ilvl="0">
      <w:lvlJc w:val="left"/>
      <w:lvlText w:val="(%1)"/>
      <w:numFmt w:val="lowerLetter"/>
      <w:start w:val="1"/>
    </w:lvl>
  </w:abstractNum>
  <w:abstractNum w:abstractNumId="122">
    <w:nsid w:val="368DB37E"/>
    <w:multiLevelType w:val="hybridMultilevel"/>
    <w:lvl w:ilvl="0">
      <w:lvlJc w:val="left"/>
      <w:lvlText w:val="(%1)"/>
      <w:numFmt w:val="lowerLetter"/>
      <w:start w:val="1"/>
    </w:lvl>
  </w:abstractNum>
  <w:abstractNum w:abstractNumId="123">
    <w:nsid w:val="6A3B714C"/>
    <w:multiLevelType w:val="hybridMultilevel"/>
    <w:lvl w:ilvl="0">
      <w:lvlJc w:val="left"/>
      <w:lvlText w:val="(%1)"/>
      <w:numFmt w:val="lowerLetter"/>
      <w:start w:val="1"/>
    </w:lvl>
  </w:abstractNum>
  <w:abstractNum w:abstractNumId="124">
    <w:nsid w:val="327B517E"/>
    <w:multiLevelType w:val="hybridMultilevel"/>
    <w:lvl w:ilvl="0">
      <w:lvlJc w:val="left"/>
      <w:lvlText w:val="."/>
      <w:numFmt w:val="bullet"/>
      <w:start w:val="1"/>
    </w:lvl>
  </w:abstractNum>
  <w:abstractNum w:abstractNumId="125">
    <w:nsid w:val="1F461B51"/>
    <w:multiLevelType w:val="hybridMultilevel"/>
    <w:lvl w:ilvl="0">
      <w:lvlJc w:val="left"/>
      <w:lvlText w:val="(%1)"/>
      <w:numFmt w:val="lowerLetter"/>
      <w:start w:val="1"/>
    </w:lvl>
  </w:abstractNum>
  <w:abstractNum w:abstractNumId="126">
    <w:nsid w:val="29BACF25"/>
    <w:multiLevelType w:val="hybridMultilevel"/>
    <w:lvl w:ilvl="0">
      <w:lvlJc w:val="left"/>
      <w:lvlText w:val="(%1)"/>
      <w:numFmt w:val="lowerLetter"/>
      <w:start w:val="5"/>
    </w:lvl>
  </w:abstractNum>
  <w:abstractNum w:abstractNumId="127">
    <w:nsid w:val="5D5BABB3"/>
    <w:multiLevelType w:val="hybridMultilevel"/>
    <w:lvl w:ilvl="0">
      <w:lvlJc w:val="left"/>
      <w:lvlText w:val="(%1)"/>
      <w:numFmt w:val="lowerLetter"/>
      <w:start w:val="10"/>
    </w:lvl>
  </w:abstractNum>
  <w:abstractNum w:abstractNumId="128">
    <w:nsid w:val="51BF6B48"/>
    <w:multiLevelType w:val="hybridMultilevel"/>
    <w:lvl w:ilvl="0">
      <w:lvlJc w:val="left"/>
      <w:lvlText w:val="(%1)"/>
      <w:numFmt w:val="lowerLetter"/>
      <w:start w:val="1"/>
    </w:lvl>
  </w:abstractNum>
  <w:abstractNum w:abstractNumId="129">
    <w:nsid w:val="7E0F6384"/>
    <w:multiLevelType w:val="hybridMultilevel"/>
    <w:lvl w:ilvl="0">
      <w:lvlJc w:val="left"/>
      <w:lvlText w:val="(%1)"/>
      <w:numFmt w:val="lowerLetter"/>
      <w:start w:val="3"/>
    </w:lvl>
  </w:abstractNum>
  <w:abstractNum w:abstractNumId="130">
    <w:nsid w:val="2B4B8B53"/>
    <w:multiLevelType w:val="hybridMultilevel"/>
    <w:lvl w:ilvl="0">
      <w:lvlJc w:val="left"/>
      <w:lvlText w:val="%1"/>
      <w:numFmt w:val="decimal"/>
      <w:start w:val="1"/>
    </w:lvl>
    <w:lvl w:ilvl="1">
      <w:lvlJc w:val="left"/>
      <w:lvlText w:val="(%2)"/>
      <w:numFmt w:val="lowerLetter"/>
      <w:start w:val="1"/>
    </w:lvl>
  </w:abstractNum>
  <w:abstractNum w:abstractNumId="131">
    <w:nsid w:val="72E3413A"/>
    <w:multiLevelType w:val="hybridMultilevel"/>
    <w:lvl w:ilvl="0">
      <w:lvlJc w:val="left"/>
      <w:lvlText w:val="(%1)"/>
      <w:numFmt w:val="decimal"/>
      <w:start w:val="4"/>
    </w:lvl>
    <w:lvl w:ilvl="1">
      <w:lvlJc w:val="left"/>
      <w:lvlText w:val="%2"/>
      <w:numFmt w:val="lowerLetter"/>
      <w:start w:val="1"/>
    </w:lvl>
  </w:abstractNum>
  <w:abstractNum w:abstractNumId="132">
    <w:nsid w:val="116AE494"/>
    <w:multiLevelType w:val="hybridMultilevel"/>
    <w:lvl w:ilvl="0">
      <w:lvlJc w:val="left"/>
      <w:lvlText w:val="(%1)"/>
      <w:numFmt w:val="lowerLetter"/>
      <w:start w:val="4"/>
    </w:lvl>
  </w:abstractNum>
  <w:abstractNum w:abstractNumId="133">
    <w:nsid w:val="3494B2FB"/>
    <w:multiLevelType w:val="hybridMultilevel"/>
    <w:lvl w:ilvl="0">
      <w:lvlJc w:val="left"/>
      <w:lvlText w:val="(%1)"/>
      <w:numFmt w:val="lowerLetter"/>
      <w:start w:val="1"/>
    </w:lvl>
  </w:abstractNum>
  <w:abstractNum w:abstractNumId="134">
    <w:nsid w:val="B13A31"/>
    <w:multiLevelType w:val="hybridMultilevel"/>
    <w:lvl w:ilvl="0">
      <w:lvlJc w:val="left"/>
      <w:lvlText w:val="(%1)"/>
      <w:numFmt w:val="lowerLetter"/>
      <w:start w:val="1"/>
    </w:lvl>
  </w:abstractNum>
  <w:abstractNum w:abstractNumId="135">
    <w:nsid w:val="64429599"/>
    <w:multiLevelType w:val="hybridMultilevel"/>
    <w:lvl w:ilvl="0">
      <w:lvlJc w:val="left"/>
      <w:lvlText w:val="(%1)"/>
      <w:numFmt w:val="lowerLetter"/>
      <w:start w:val="1"/>
    </w:lvl>
  </w:abstractNum>
  <w:abstractNum w:abstractNumId="136">
    <w:nsid w:val="631F1690"/>
    <w:multiLevelType w:val="hybridMultilevel"/>
    <w:lvl w:ilvl="0">
      <w:lvlJc w:val="left"/>
      <w:lvlText w:val="(%1)"/>
      <w:numFmt w:val="lowerLetter"/>
      <w:start w:val="35"/>
    </w:lvl>
    <w:lvl w:ilvl="1">
      <w:lvlJc w:val="left"/>
      <w:lvlText w:val="(%2)"/>
      <w:numFmt w:val="lowerLetter"/>
      <w:start w:val="6"/>
    </w:lvl>
  </w:abstractNum>
  <w:abstractNum w:abstractNumId="137">
    <w:nsid w:val="25973E32"/>
    <w:multiLevelType w:val="hybridMultilevel"/>
    <w:lvl w:ilvl="0">
      <w:lvlJc w:val="left"/>
      <w:lvlText w:val="(%1)"/>
      <w:numFmt w:val="lowerLetter"/>
      <w:start w:val="1"/>
    </w:lvl>
  </w:abstractNum>
  <w:abstractNum w:abstractNumId="138">
    <w:nsid w:val="EAD6F57"/>
    <w:multiLevelType w:val="hybridMultilevel"/>
    <w:lvl w:ilvl="0">
      <w:lvlJc w:val="left"/>
      <w:lvlText w:val="(%1)"/>
      <w:numFmt w:val="lowerLetter"/>
      <w:start w:val="4"/>
    </w:lvl>
  </w:abstractNum>
  <w:abstractNum w:abstractNumId="139">
    <w:nsid w:val="6EC9D844"/>
    <w:multiLevelType w:val="hybridMultilevel"/>
    <w:lvl w:ilvl="0">
      <w:lvlJc w:val="left"/>
      <w:lvlText w:val="(%1)"/>
      <w:numFmt w:val="lowerLetter"/>
      <w:start w:val="12"/>
    </w:lvl>
  </w:abstractNum>
  <w:abstractNum w:abstractNumId="140">
    <w:nsid w:val="5C49EAEE"/>
    <w:multiLevelType w:val="hybridMultilevel"/>
    <w:lvl w:ilvl="0">
      <w:lvlJc w:val="left"/>
      <w:lvlText w:val="(%1)"/>
      <w:numFmt w:val="lowerRoman"/>
      <w:start w:val="2"/>
    </w:lvl>
  </w:abstractNum>
  <w:abstractNum w:abstractNumId="141">
    <w:nsid w:val="64AF49B"/>
    <w:multiLevelType w:val="hybridMultilevel"/>
    <w:lvl w:ilvl="0">
      <w:lvlJc w:val="left"/>
      <w:lvlText w:val="(%1)"/>
      <w:numFmt w:val="lowerRoman"/>
      <w:start w:val="1"/>
    </w:lvl>
  </w:abstractNum>
  <w:abstractNum w:abstractNumId="142">
    <w:nsid w:val="397C46BC"/>
    <w:multiLevelType w:val="hybridMultilevel"/>
    <w:lvl w:ilvl="0">
      <w:lvlJc w:val="left"/>
      <w:lvlText w:val="."/>
      <w:numFmt w:val="bullet"/>
      <w:start w:val="1"/>
    </w:lvl>
  </w:abstractNum>
  <w:abstractNum w:abstractNumId="143">
    <w:nsid w:val="7E448DE9"/>
    <w:multiLevelType w:val="hybridMultilevel"/>
    <w:lvl w:ilvl="0">
      <w:lvlJc w:val="left"/>
      <w:lvlText w:val="(%1)"/>
      <w:numFmt w:val="lowerLetter"/>
      <w:start w:val="1"/>
    </w:lvl>
  </w:abstractNum>
  <w:abstractNum w:abstractNumId="144">
    <w:nsid w:val="5A9CC3E5"/>
    <w:multiLevelType w:val="hybridMultilevel"/>
    <w:lvl w:ilvl="0">
      <w:lvlJc w:val="left"/>
      <w:lvlText w:val="%1"/>
      <w:numFmt w:val="decimal"/>
      <w:start w:val="1"/>
    </w:lvl>
    <w:lvl w:ilvl="1">
      <w:lvlJc w:val="left"/>
      <w:lvlText w:val="(%2)"/>
      <w:numFmt w:val="lowerLetter"/>
      <w:start w:val="4"/>
    </w:lvl>
  </w:abstractNum>
  <w:abstractNum w:abstractNumId="145">
    <w:nsid w:val="1AFE3625"/>
    <w:multiLevelType w:val="hybridMultilevel"/>
    <w:lvl w:ilvl="0">
      <w:lvlJc w:val="left"/>
      <w:lvlText w:val="(%1)"/>
      <w:numFmt w:val="decimal"/>
      <w:start w:val="30"/>
    </w:lvl>
    <w:lvl w:ilvl="1">
      <w:lvlJc w:val="left"/>
      <w:lvlText w:val="(%2)"/>
      <w:numFmt w:val="lowerLetter"/>
      <w:start w:val="6"/>
    </w:lvl>
  </w:abstractNum>
  <w:abstractNum w:abstractNumId="146">
    <w:nsid w:val="3CA88ECF"/>
    <w:multiLevelType w:val="hybridMultilevel"/>
    <w:lvl w:ilvl="0">
      <w:lvlJc w:val="left"/>
      <w:lvlText w:val="(%1)"/>
      <w:numFmt w:val="lowerLetter"/>
      <w:start w:val="12"/>
    </w:lvl>
  </w:abstractNum>
  <w:abstractNum w:abstractNumId="147">
    <w:nsid w:val="6EBE4208"/>
    <w:multiLevelType w:val="hybridMultilevel"/>
    <w:lvl w:ilvl="0">
      <w:lvlJc w:val="left"/>
      <w:lvlText w:val="(%1)"/>
      <w:numFmt w:val="lowerRoman"/>
      <w:start w:val="5"/>
    </w:lvl>
  </w:abstractNum>
  <w:abstractNum w:abstractNumId="148">
    <w:nsid w:val="C058DF5"/>
    <w:multiLevelType w:val="hybridMultilevel"/>
    <w:lvl w:ilvl="0">
      <w:lvlJc w:val="left"/>
      <w:lvlText w:val="(%1)"/>
      <w:numFmt w:val="lowerLetter"/>
      <w:start w:val="25"/>
    </w:lvl>
  </w:abstractNum>
  <w:abstractNum w:abstractNumId="149">
    <w:nsid w:val="CBE5BE9"/>
    <w:multiLevelType w:val="hybridMultilevel"/>
    <w:lvl w:ilvl="0">
      <w:lvlJc w:val="left"/>
      <w:lvlText w:val="(%1)"/>
      <w:numFmt w:val="lowerRoman"/>
      <w:start w:val="1"/>
    </w:lvl>
  </w:abstractNum>
  <w:abstractNum w:abstractNumId="150">
    <w:nsid w:val="3102BBE2"/>
    <w:multiLevelType w:val="hybridMultilevel"/>
    <w:lvl w:ilvl="0">
      <w:lvlJc w:val="left"/>
      <w:lvlText w:val="(%1)"/>
      <w:numFmt w:val="lowerLetter"/>
      <w:start w:val="1"/>
    </w:lvl>
  </w:abstractNum>
  <w:abstractNum w:abstractNumId="151">
    <w:nsid w:val="26A02C5E"/>
    <w:multiLevelType w:val="hybridMultilevel"/>
    <w:lvl w:ilvl="0">
      <w:lvlJc w:val="left"/>
      <w:lvlText w:val="(%1)"/>
      <w:numFmt w:val="lowerLetter"/>
      <w:start w:val="2"/>
    </w:lvl>
  </w:abstractNum>
  <w:abstractNum w:abstractNumId="152">
    <w:nsid w:val="541C8153"/>
    <w:multiLevelType w:val="hybridMultilevel"/>
    <w:lvl w:ilvl="0">
      <w:lvlJc w:val="left"/>
      <w:lvlText w:val="(%1)"/>
      <w:numFmt w:val="lowerRoman"/>
      <w:start w:val="1"/>
    </w:lvl>
  </w:abstractNum>
  <w:abstractNum w:abstractNumId="153">
    <w:nsid w:val="67906F60"/>
    <w:multiLevelType w:val="hybridMultilevel"/>
    <w:lvl w:ilvl="0">
      <w:lvlJc w:val="left"/>
      <w:lvlText w:val="(%1)"/>
      <w:numFmt w:val="lowerRoman"/>
      <w:start w:val="2"/>
    </w:lvl>
  </w:abstractNum>
  <w:abstractNum w:abstractNumId="154">
    <w:nsid w:val="10DB9DAA"/>
    <w:multiLevelType w:val="hybridMultilevel"/>
    <w:lvl w:ilvl="0">
      <w:lvlJc w:val="left"/>
      <w:lvlText w:val="(%1)"/>
      <w:numFmt w:val="lowerRoman"/>
      <w:start w:val="7"/>
    </w:lvl>
  </w:abstractNum>
  <w:abstractNum w:abstractNumId="155">
    <w:nsid w:val="697D2D2"/>
    <w:multiLevelType w:val="hybridMultilevel"/>
    <w:lvl w:ilvl="0">
      <w:lvlJc w:val="left"/>
      <w:lvlText w:val="%1"/>
      <w:numFmt w:val="lowerLetter"/>
      <w:start w:val="1"/>
    </w:lvl>
    <w:lvl w:ilvl="1">
      <w:lvlJc w:val="left"/>
      <w:lvlText w:val="(%2)"/>
      <w:numFmt w:val="lowerLetter"/>
      <w:start w:val="1"/>
    </w:lvl>
  </w:abstractNum>
  <w:abstractNum w:abstractNumId="156">
    <w:nsid w:val="6D68AB2"/>
    <w:multiLevelType w:val="hybridMultilevel"/>
    <w:lvl w:ilvl="0">
      <w:lvlJc w:val="left"/>
      <w:lvlText w:val="(%1)"/>
      <w:numFmt w:val="lowerLetter"/>
      <w:start w:val="22"/>
    </w:lvl>
    <w:lvl w:ilvl="1">
      <w:lvlJc w:val="left"/>
      <w:lvlText w:val="(%2)"/>
      <w:numFmt w:val="lowerLetter"/>
      <w:start w:val="2"/>
    </w:lvl>
  </w:abstractNum>
  <w:abstractNum w:abstractNumId="157">
    <w:nsid w:val="3A966CD0"/>
    <w:multiLevelType w:val="hybridMultilevel"/>
    <w:lvl w:ilvl="0">
      <w:lvlJc w:val="left"/>
      <w:lvlText w:val="(%1)"/>
      <w:numFmt w:val="lowerLetter"/>
      <w:start w:val="25"/>
    </w:lvl>
    <w:lvl w:ilvl="1">
      <w:lvlJc w:val="left"/>
      <w:lvlText w:val="%2"/>
      <w:numFmt w:val="lowerLetter"/>
      <w:start w:val="1"/>
    </w:lvl>
  </w:abstractNum>
  <w:abstractNum w:abstractNumId="158">
    <w:nsid w:val="63F37E85"/>
    <w:multiLevelType w:val="hybridMultilevel"/>
    <w:lvl w:ilvl="0">
      <w:lvlJc w:val="left"/>
      <w:lvlText w:val="(%1)"/>
      <w:numFmt w:val="lowerLetter"/>
      <w:start w:val="3"/>
    </w:lvl>
  </w:abstractNum>
  <w:abstractNum w:abstractNumId="159">
    <w:nsid w:val="5895F5FA"/>
    <w:multiLevelType w:val="hybridMultilevel"/>
    <w:lvl w:ilvl="0">
      <w:lvlJc w:val="left"/>
      <w:lvlText w:val="(%1)"/>
      <w:numFmt w:val="lowerLetter"/>
      <w:start w:val="1"/>
    </w:lvl>
  </w:abstractNum>
  <w:abstractNum w:abstractNumId="160">
    <w:nsid w:val="38A5D054"/>
    <w:multiLevelType w:val="hybridMultilevel"/>
    <w:lvl w:ilvl="0">
      <w:lvlJc w:val="left"/>
      <w:lvlText w:val="(%1)"/>
      <w:numFmt w:val="lowerLetter"/>
      <w:start w:val="1"/>
    </w:lvl>
  </w:abstractNum>
  <w:abstractNum w:abstractNumId="161">
    <w:nsid w:val="F3F09D8"/>
    <w:multiLevelType w:val="hybridMultilevel"/>
    <w:lvl w:ilvl="0">
      <w:lvlJc w:val="left"/>
      <w:lvlText w:val="(%1)"/>
      <w:numFmt w:val="lowerLetter"/>
      <w:start w:val="2"/>
    </w:lvl>
  </w:abstractNum>
  <w:abstractNum w:abstractNumId="162">
    <w:nsid w:val="4B793735"/>
    <w:multiLevelType w:val="hybridMultilevel"/>
    <w:lvl w:ilvl="0">
      <w:lvlJc w:val="left"/>
      <w:lvlText w:val="(%1)"/>
      <w:numFmt w:val="lowerLetter"/>
      <w:start w:val="4"/>
    </w:lvl>
  </w:abstractNum>
  <w:abstractNum w:abstractNumId="163">
    <w:nsid w:val="4A10B4E8"/>
    <w:multiLevelType w:val="hybridMultilevel"/>
    <w:lvl w:ilvl="0">
      <w:lvlJc w:val="left"/>
      <w:lvlText w:val="(%1)"/>
      <w:numFmt w:val="lowerLetter"/>
      <w:start w:val="1"/>
    </w:lvl>
    <w:lvl w:ilvl="1">
      <w:lvlJc w:val="left"/>
      <w:lvlText w:val="(%2)"/>
      <w:numFmt w:val="upperLetter"/>
      <w:start w:val="1"/>
    </w:lvl>
  </w:abstractNum>
  <w:abstractNum w:abstractNumId="164">
    <w:nsid w:val="43D3BCD4"/>
    <w:multiLevelType w:val="hybridMultilevel"/>
    <w:lvl w:ilvl="0">
      <w:lvlJc w:val="left"/>
      <w:lvlText w:val="(%1)"/>
      <w:numFmt w:val="lowerRoman"/>
      <w:start w:val="1"/>
    </w:lvl>
    <w:lvl w:ilvl="1">
      <w:lvlJc w:val="left"/>
      <w:lvlText w:val="(%2)"/>
      <w:numFmt w:val="upperLetter"/>
      <w:start w:val="1"/>
    </w:lvl>
  </w:abstractNum>
  <w:abstractNum w:abstractNumId="165">
    <w:nsid w:val="4C2A7166"/>
    <w:multiLevelType w:val="hybridMultilevel"/>
    <w:lvl w:ilvl="0">
      <w:lvlJc w:val="left"/>
      <w:lvlText w:val="(%1)"/>
      <w:numFmt w:val="upperLetter"/>
      <w:start w:val="3"/>
    </w:lvl>
  </w:abstractNum>
  <w:abstractNum w:abstractNumId="166">
    <w:nsid w:val="2E534A82"/>
    <w:multiLevelType w:val="hybridMultilevel"/>
    <w:lvl w:ilvl="0">
      <w:lvlJc w:val="left"/>
      <w:lvlText w:val="(%1)"/>
      <w:numFmt w:val="lowerRoman"/>
      <w:start w:val="2"/>
    </w:lvl>
  </w:abstractNum>
  <w:abstractNum w:abstractNumId="167">
    <w:nsid w:val="26F2D364"/>
    <w:multiLevelType w:val="hybridMultilevel"/>
    <w:lvl w:ilvl="0">
      <w:lvlJc w:val="left"/>
      <w:lvlText w:val="%1"/>
      <w:numFmt w:val="lowerLetter"/>
      <w:start w:val="1"/>
    </w:lvl>
    <w:lvl w:ilvl="1">
      <w:lvlJc w:val="left"/>
      <w:lvlText w:val="(%2)"/>
      <w:numFmt w:val="lowerRoman"/>
      <w:start w:val="4"/>
    </w:lvl>
  </w:abstractNum>
  <w:abstractNum w:abstractNumId="168">
    <w:nsid w:val="71C1AF98"/>
    <w:multiLevelType w:val="hybridMultilevel"/>
    <w:lvl w:ilvl="0">
      <w:lvlJc w:val="left"/>
      <w:lvlText w:val="(%1)"/>
      <w:numFmt w:val="lowerLetter"/>
      <w:start w:val="25"/>
    </w:lvl>
    <w:lvl w:ilvl="1">
      <w:lvlJc w:val="left"/>
      <w:lvlText w:val="%2"/>
      <w:numFmt w:val="lowerRoman"/>
      <w:start w:val="1"/>
    </w:lvl>
  </w:abstractNum>
  <w:abstractNum w:abstractNumId="169">
    <w:nsid w:val="3D00B9D9"/>
    <w:multiLevelType w:val="hybridMultilevel"/>
    <w:lvl w:ilvl="0">
      <w:lvlJc w:val="left"/>
      <w:lvlText w:val="(%1)"/>
      <w:numFmt w:val="lowerLetter"/>
      <w:start w:val="2"/>
    </w:lvl>
  </w:abstractNum>
  <w:abstractNum w:abstractNumId="170">
    <w:nsid w:val="15BCABA8"/>
    <w:multiLevelType w:val="hybridMultilevel"/>
    <w:lvl w:ilvl="0">
      <w:lvlJc w:val="left"/>
      <w:lvlText w:val="(%1)"/>
      <w:numFmt w:val="lowerLetter"/>
      <w:start w:val="3"/>
    </w:lvl>
  </w:abstractNum>
  <w:abstractNum w:abstractNumId="171">
    <w:nsid w:val="4E0B9A87"/>
    <w:multiLevelType w:val="hybridMultilevel"/>
    <w:lvl w:ilvl="0">
      <w:lvlJc w:val="left"/>
      <w:lvlText w:val="(%1)"/>
      <w:numFmt w:val="lowerLetter"/>
      <w:start w:val="1"/>
    </w:lvl>
  </w:abstractNum>
  <w:abstractNum w:abstractNumId="172">
    <w:nsid w:val="434BAE75"/>
    <w:multiLevelType w:val="hybridMultilevel"/>
    <w:lvl w:ilvl="0">
      <w:lvlJc w:val="left"/>
      <w:lvlText w:val="."/>
      <w:numFmt w:val="bullet"/>
      <w:start w:val="1"/>
    </w:lvl>
  </w:abstractNum>
  <w:abstractNum w:abstractNumId="173">
    <w:nsid w:val="4F38F265"/>
    <w:multiLevelType w:val="hybridMultilevel"/>
    <w:lvl w:ilvl="0">
      <w:lvlJc w:val="left"/>
      <w:lvlText w:val="(%1)"/>
      <w:numFmt w:val="lowerLetter"/>
      <w:start w:val="1"/>
    </w:lvl>
  </w:abstractNum>
  <w:abstractNum w:abstractNumId="174">
    <w:nsid w:val="4C502870"/>
    <w:multiLevelType w:val="hybridMultilevel"/>
    <w:lvl w:ilvl="0">
      <w:lvlJc w:val="left"/>
      <w:lvlText w:val="(%1)"/>
      <w:numFmt w:val="upperLetter"/>
      <w:start w:val="2"/>
    </w:lvl>
  </w:abstractNum>
  <w:abstractNum w:abstractNumId="175">
    <w:nsid w:val="1DE8725A"/>
    <w:multiLevelType w:val="hybridMultilevel"/>
    <w:lvl w:ilvl="0">
      <w:lvlJc w:val="left"/>
      <w:lvlText w:val="(%1)"/>
      <w:numFmt w:val="lowerLetter"/>
      <w:start w:val="10"/>
    </w:lvl>
  </w:abstractNum>
  <w:abstractNum w:abstractNumId="176">
    <w:nsid w:val="6A37288A"/>
    <w:multiLevelType w:val="hybridMultilevel"/>
    <w:lvl w:ilvl="0">
      <w:lvlJc w:val="left"/>
      <w:lvlText w:val="(%1)"/>
      <w:numFmt w:val="lowerLetter"/>
      <w:start w:val="1"/>
    </w:lvl>
  </w:abstractNum>
  <w:abstractNum w:abstractNumId="177">
    <w:nsid w:val="8F8B73F"/>
    <w:multiLevelType w:val="hybridMultilevel"/>
    <w:lvl w:ilvl="0">
      <w:lvlJc w:val="left"/>
      <w:lvlText w:val="(%1)"/>
      <w:numFmt w:val="lowerRoman"/>
      <w:start w:val="1"/>
    </w:lvl>
  </w:abstractNum>
  <w:abstractNum w:abstractNumId="178">
    <w:nsid w:val="CA6B462"/>
    <w:multiLevelType w:val="hybridMultilevel"/>
    <w:lvl w:ilvl="0">
      <w:lvlJc w:val="left"/>
      <w:lvlText w:val="(%1)"/>
      <w:numFmt w:val="lowerRoman"/>
      <w:start w:val="1"/>
    </w:lvl>
  </w:abstractNum>
  <w:abstractNum w:abstractNumId="179">
    <w:nsid w:val="763CB680"/>
    <w:multiLevelType w:val="hybridMultilevel"/>
    <w:lvl w:ilvl="0">
      <w:lvlJc w:val="left"/>
      <w:lvlText w:val="(%1)"/>
      <w:numFmt w:val="lowerRoman"/>
      <w:start w:val="3"/>
    </w:lvl>
  </w:abstractNum>
  <w:abstractNum w:abstractNumId="180">
    <w:nsid w:val="15B71329"/>
    <w:multiLevelType w:val="hybridMultilevel"/>
    <w:lvl w:ilvl="0">
      <w:lvlJc w:val="left"/>
      <w:lvlText w:val="(%1)"/>
      <w:numFmt w:val="lowerLetter"/>
      <w:start w:val="1"/>
    </w:lvl>
  </w:abstractNum>
  <w:abstractNum w:abstractNumId="181">
    <w:nsid w:val="3DA97044"/>
    <w:multiLevelType w:val="hybridMultilevel"/>
    <w:lvl w:ilvl="0">
      <w:lvlJc w:val="left"/>
      <w:lvlText w:val="(%1)"/>
      <w:numFmt w:val="lowerLetter"/>
      <w:start w:val="1"/>
    </w:lvl>
  </w:abstractNum>
  <w:abstractNum w:abstractNumId="182">
    <w:nsid w:val="1CDCE2DE"/>
    <w:multiLevelType w:val="hybridMultilevel"/>
    <w:lvl w:ilvl="0">
      <w:lvlJc w:val="left"/>
      <w:lvlText w:val="(%1)"/>
      <w:numFmt w:val="lowerLetter"/>
      <w:start w:val="1"/>
    </w:lvl>
  </w:abstractNum>
  <w:abstractNum w:abstractNumId="183">
    <w:nsid w:val="69D3947C"/>
    <w:multiLevelType w:val="hybridMultilevel"/>
    <w:lvl w:ilvl="0">
      <w:lvlJc w:val="left"/>
      <w:lvlText w:val="(%1)"/>
      <w:numFmt w:val="lowerLetter"/>
      <w:start w:val="3"/>
    </w:lvl>
  </w:abstractNum>
  <w:abstractNum w:abstractNumId="184">
    <w:nsid w:val="2539DFA5"/>
    <w:multiLevelType w:val="hybridMultilevel"/>
    <w:lvl w:ilvl="0">
      <w:lvlJc w:val="left"/>
      <w:lvlText w:val="(%1)"/>
      <w:numFmt w:val="lowerLetter"/>
      <w:start w:val="1"/>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Letter"/>
      <w:start w:val="8"/>
    </w:lvl>
  </w:abstractNum>
  <w:abstractNum w:abstractNumId="187">
    <w:nsid w:val="2C106A57"/>
    <w:multiLevelType w:val="hybridMultilevel"/>
    <w:lvl w:ilvl="0">
      <w:lvlJc w:val="left"/>
      <w:lvlText w:val="(%1)"/>
      <w:numFmt w:val="lowerLetter"/>
      <w:start w:val="1"/>
    </w:lvl>
    <w:lvl w:ilvl="1">
      <w:lvlJc w:val="left"/>
      <w:lvlText w:val="(%2)"/>
      <w:numFmt w:val="lowerLetter"/>
      <w:start w:val="9"/>
    </w:lvl>
  </w:abstractNum>
  <w:abstractNum w:abstractNumId="188">
    <w:nsid w:val="684EED5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189">
    <w:nsid w:val="545EE5D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90">
    <w:nsid w:val="4A66051"/>
    <w:multiLevelType w:val="hybridMultilevel"/>
    <w:lvl w:ilvl="0">
      <w:lvlJc w:val="left"/>
      <w:lvlText w:val="%1"/>
      <w:numFmt w:val="lowerLetter"/>
      <w:start w:val="1"/>
    </w:lvl>
    <w:lvl w:ilvl="1">
      <w:lvlJc w:val="left"/>
      <w:lvlText w:val="(%2)"/>
      <w:numFmt w:val="lowerLetter"/>
      <w:start w:val="61"/>
    </w:lvl>
  </w:abstractNum>
  <w:abstractNum w:abstractNumId="191">
    <w:nsid w:val="20F4BDAD"/>
    <w:multiLevelType w:val="hybridMultilevel"/>
    <w:lvl w:ilvl="0">
      <w:lvlJc w:val="left"/>
      <w:lvlText w:val="(%1)"/>
      <w:numFmt w:val="lowerLetter"/>
      <w:start w:val="8"/>
    </w:lvl>
    <w:lvl w:ilvl="1">
      <w:lvlJc w:val="left"/>
      <w:lvlText w:val="%2"/>
      <w:numFmt w:val="lowerLetter"/>
      <w:start w:val="1"/>
    </w:lvl>
  </w:abstractNum>
  <w:abstractNum w:abstractNumId="192">
    <w:nsid w:val="639DEFAC"/>
    <w:multiLevelType w:val="hybridMultilevel"/>
    <w:lvl w:ilvl="0">
      <w:lvlJc w:val="left"/>
      <w:lvlText w:val="(%1)"/>
      <w:numFmt w:val="lowerLetter"/>
      <w:start w:val="1"/>
    </w:lvl>
  </w:abstractNum>
  <w:abstractNum w:abstractNumId="193">
    <w:nsid w:val="501F9786"/>
    <w:multiLevelType w:val="hybridMultilevel"/>
    <w:lvl w:ilvl="0">
      <w:lvlJc w:val="left"/>
      <w:lvlText w:val="%1"/>
      <w:numFmt w:val="lowerLetter"/>
      <w:start w:val="1"/>
    </w:lvl>
    <w:lvl w:ilvl="1">
      <w:lvlJc w:val="left"/>
      <w:lvlText w:val="(%2)"/>
      <w:numFmt w:val="lowerLetter"/>
      <w:start w:val="1"/>
    </w:lvl>
  </w:abstractNum>
  <w:abstractNum w:abstractNumId="194">
    <w:nsid w:val="6B057295"/>
    <w:multiLevelType w:val="hybridMultilevel"/>
    <w:lvl w:ilvl="0">
      <w:lvlJc w:val="left"/>
      <w:lvlText w:val="(%1)"/>
      <w:numFmt w:val="lowerLetter"/>
      <w:start w:val="9"/>
    </w:lvl>
    <w:lvl w:ilvl="1">
      <w:lvlJc w:val="left"/>
      <w:lvlText w:val="%2"/>
      <w:numFmt w:val="lowerLetter"/>
      <w:start w:val="1"/>
    </w:lvl>
  </w:abstractNum>
  <w:abstractNum w:abstractNumId="195">
    <w:nsid w:val="2771AC80"/>
    <w:multiLevelType w:val="hybridMultilevel"/>
    <w:lvl w:ilvl="0">
      <w:lvlJc w:val="left"/>
      <w:lvlText w:val="(%1)"/>
      <w:numFmt w:val="lowerLetter"/>
      <w:start w:val="1"/>
    </w:lvl>
  </w:abstractNum>
  <w:abstractNum w:abstractNumId="196">
    <w:nsid w:val="1C4A08EC"/>
    <w:multiLevelType w:val="hybridMultilevel"/>
    <w:lvl w:ilvl="0">
      <w:lvlJc w:val="left"/>
      <w:lvlText w:val="(%1)"/>
      <w:numFmt w:val="lowerLetter"/>
      <w:start w:val="1"/>
    </w:lvl>
  </w:abstractNum>
  <w:abstractNum w:abstractNumId="197">
    <w:nsid w:val="1958BD17"/>
    <w:multiLevelType w:val="hybridMultilevel"/>
    <w:lvl w:ilvl="0">
      <w:lvlJc w:val="left"/>
      <w:lvlText w:val="%1"/>
      <w:numFmt w:val="lowerLetter"/>
      <w:start w:val="1"/>
    </w:lvl>
    <w:lvl w:ilvl="1">
      <w:lvlJc w:val="left"/>
      <w:lvlText w:val="(%2)"/>
      <w:numFmt w:val="lowerLetter"/>
      <w:start w:val="4"/>
    </w:lvl>
  </w:abstractNum>
  <w:abstractNum w:abstractNumId="198">
    <w:nsid w:val="4E647FE4"/>
    <w:multiLevelType w:val="hybridMultilevel"/>
    <w:lvl w:ilvl="0">
      <w:lvlJc w:val="left"/>
      <w:lvlText w:val="(%1)"/>
      <w:numFmt w:val="lowerLetter"/>
      <w:start w:val="35"/>
    </w:lvl>
    <w:lvl w:ilvl="1">
      <w:lvlJc w:val="left"/>
      <w:lvlText w:val="(%2)"/>
      <w:numFmt w:val="lowerLetter"/>
      <w:start w:val="9"/>
    </w:lvl>
  </w:abstractNum>
  <w:abstractNum w:abstractNumId="199">
    <w:nsid w:val="E0BB885"/>
    <w:multiLevelType w:val="hybridMultilevel"/>
    <w:lvl w:ilvl="0">
      <w:lvlJc w:val="left"/>
      <w:lvlText w:val="(%1)"/>
      <w:numFmt w:val="lowerLetter"/>
      <w:start w:val="10"/>
    </w:lvl>
  </w:abstractNum>
  <w:abstractNum w:abstractNumId="200">
    <w:nsid w:val="565976F1"/>
    <w:multiLevelType w:val="hybridMultilevel"/>
    <w:lvl w:ilvl="0">
      <w:lvlJc w:val="left"/>
      <w:lvlText w:val="(%1)"/>
      <w:numFmt w:val="lowerLetter"/>
      <w:start w:val="1"/>
    </w:lvl>
  </w:abstractNum>
  <w:abstractNum w:abstractNumId="201">
    <w:nsid w:val="64212B8C"/>
    <w:multiLevelType w:val="hybridMultilevel"/>
    <w:lvl w:ilvl="0">
      <w:lvlJc w:val="left"/>
      <w:lvlText w:val="(%1)"/>
      <w:numFmt w:val="lowerLetter"/>
      <w:start w:val="1"/>
    </w:lvl>
  </w:abstractNum>
  <w:abstractNum w:abstractNumId="202">
    <w:nsid w:val="5C17530C"/>
    <w:multiLevelType w:val="hybridMultilevel"/>
    <w:lvl w:ilvl="0">
      <w:lvlJc w:val="left"/>
      <w:lvlText w:val="(%1)"/>
      <w:numFmt w:val="lowerLetter"/>
      <w:start w:val="1"/>
    </w:lvl>
  </w:abstractNum>
  <w:abstractNum w:abstractNumId="203">
    <w:nsid w:val="19A52566"/>
    <w:multiLevelType w:val="hybridMultilevel"/>
    <w:lvl w:ilvl="0">
      <w:lvlJc w:val="left"/>
      <w:lvlText w:val="(%1)"/>
      <w:numFmt w:val="lowerLetter"/>
      <w:start w:val="4"/>
    </w:lvl>
    <w:lvl w:ilvl="1">
      <w:lvlJc w:val="left"/>
      <w:lvlText w:val="(%2)"/>
      <w:numFmt w:val="lowerRoman"/>
      <w:start w:val="1"/>
    </w:lvl>
  </w:abstractNum>
  <w:abstractNum w:abstractNumId="204">
    <w:nsid w:val="335A1DF1"/>
    <w:multiLevelType w:val="hybridMultilevel"/>
    <w:lvl w:ilvl="0">
      <w:lvlJc w:val="left"/>
      <w:lvlText w:val="(%1)"/>
      <w:numFmt w:val="lowerLetter"/>
      <w:start w:val="6"/>
    </w:lvl>
    <w:lvl w:ilvl="1">
      <w:lvlJc w:val="left"/>
      <w:lvlText w:val="(%2)"/>
      <w:numFmt w:val="lowerLetter"/>
      <w:start w:val="8"/>
    </w:lvl>
  </w:abstractNum>
  <w:abstractNum w:abstractNumId="205">
    <w:nsid w:val="28677B7C"/>
    <w:multiLevelType w:val="hybridMultilevel"/>
    <w:lvl w:ilvl="0">
      <w:lvlJc w:val="left"/>
      <w:lvlText w:val="(%1)"/>
      <w:numFmt w:val="lowerLetter"/>
      <w:start w:val="9"/>
    </w:lvl>
  </w:abstractNum>
  <w:abstractNum w:abstractNumId="206">
    <w:nsid w:val="378D97C0"/>
    <w:multiLevelType w:val="hybridMultilevel"/>
    <w:lvl w:ilvl="0">
      <w:lvlJc w:val="left"/>
      <w:lvlText w:val="(%1)"/>
      <w:numFmt w:val="lowerRoman"/>
      <w:start w:val="10"/>
    </w:lvl>
  </w:abstractNum>
  <w:abstractNum w:abstractNumId="207">
    <w:nsid w:val="1D91467C"/>
    <w:multiLevelType w:val="hybridMultilevel"/>
    <w:lvl w:ilvl="0">
      <w:lvlJc w:val="left"/>
      <w:lvlText w:val="(%1)"/>
      <w:numFmt w:val="lowerLetter"/>
      <w:start w:val="1"/>
    </w:lvl>
  </w:abstractNum>
  <w:abstractNum w:abstractNumId="208">
    <w:nsid w:val="316032BB"/>
    <w:multiLevelType w:val="hybridMultilevel"/>
    <w:lvl w:ilvl="0">
      <w:lvlJc w:val="left"/>
      <w:lvlText w:val="(%1)"/>
      <w:numFmt w:val="lowerLetter"/>
      <w:start w:val="1"/>
    </w:lvl>
  </w:abstractNum>
  <w:abstractNum w:abstractNumId="209">
    <w:nsid w:val="44344C22"/>
    <w:multiLevelType w:val="hybridMultilevel"/>
    <w:lvl w:ilvl="0">
      <w:lvlJc w:val="left"/>
      <w:lvlText w:val="(%1)"/>
      <w:numFmt w:val="lowerLetter"/>
      <w:start w:val="2"/>
    </w:lvl>
    <w:lvl w:ilvl="1">
      <w:lvlJc w:val="left"/>
      <w:lvlText w:val="(%2)"/>
      <w:numFmt w:val="lowerRoman"/>
      <w:start w:val="1"/>
    </w:lvl>
  </w:abstractNum>
  <w:abstractNum w:abstractNumId="210">
    <w:nsid w:val="13CDFCFC"/>
    <w:multiLevelType w:val="hybridMultilevel"/>
    <w:lvl w:ilvl="0">
      <w:lvlJc w:val="left"/>
      <w:lvlText w:val="(%1)"/>
      <w:numFmt w:val="lowerRoman"/>
      <w:start w:val="3"/>
    </w:lvl>
  </w:abstractNum>
  <w:abstractNum w:abstractNumId="211">
    <w:nsid w:val="471745E4"/>
    <w:multiLevelType w:val="hybridMultilevel"/>
    <w:lvl w:ilvl="0">
      <w:lvlJc w:val="left"/>
      <w:lvlText w:val="(%1)"/>
      <w:numFmt w:val="lowerLetter"/>
      <w:start w:val="1"/>
    </w:lvl>
  </w:abstractNum>
  <w:abstractNum w:abstractNumId="212">
    <w:nsid w:val="1DDBC66"/>
    <w:multiLevelType w:val="hybridMultilevel"/>
    <w:lvl w:ilvl="0">
      <w:lvlJc w:val="left"/>
      <w:lvlText w:val="(%1)"/>
      <w:numFmt w:val="lowerLetter"/>
      <w:start w:val="1"/>
    </w:lvl>
  </w:abstractNum>
  <w:abstractNum w:abstractNumId="213">
    <w:nsid w:val="30AADFDA"/>
    <w:multiLevelType w:val="hybridMultilevel"/>
    <w:lvl w:ilvl="0">
      <w:lvlJc w:val="left"/>
      <w:lvlText w:val="(%1)"/>
      <w:numFmt w:val="lowerLetter"/>
      <w:start w:val="14"/>
    </w:lvl>
  </w:abstractNum>
  <w:abstractNum w:abstractNumId="214">
    <w:nsid w:val="30EADA61"/>
    <w:multiLevelType w:val="hybridMultilevel"/>
    <w:lvl w:ilvl="0">
      <w:lvlJc w:val="left"/>
      <w:lvlText w:val="%1"/>
      <w:numFmt w:val="decimal"/>
      <w:start w:val="1"/>
    </w:lvl>
    <w:lvl w:ilvl="1">
      <w:lvlJc w:val="left"/>
      <w:lvlText w:val="(%2)"/>
      <w:numFmt w:val="lowerLetter"/>
      <w:start w:val="1"/>
    </w:lvl>
  </w:abstractNum>
  <w:abstractNum w:abstractNumId="215">
    <w:nsid w:val="27179C0B"/>
    <w:multiLevelType w:val="hybridMultilevel"/>
    <w:lvl w:ilvl="0">
      <w:lvlJc w:val="left"/>
      <w:lvlText w:val="(%1)"/>
      <w:numFmt w:val="decimal"/>
      <w:start w:val="1"/>
    </w:lvl>
    <w:lvl w:ilvl="1">
      <w:lvlJc w:val="left"/>
      <w:lvlText w:val="%2"/>
      <w:numFmt w:val="lowerLetter"/>
      <w:start w:val="1"/>
    </w:lvl>
  </w:abstractNum>
  <w:abstractNum w:abstractNumId="216">
    <w:nsid w:val="5E636063"/>
    <w:multiLevelType w:val="hybridMultilevel"/>
    <w:lvl w:ilvl="0">
      <w:lvlJc w:val="left"/>
      <w:lvlText w:val="(%1)"/>
      <w:numFmt w:val="lowerLetter"/>
      <w:start w:val="2"/>
    </w:lvl>
  </w:abstractNum>
  <w:abstractNum w:abstractNumId="217">
    <w:nsid w:val="215641AF"/>
    <w:multiLevelType w:val="hybridMultilevel"/>
    <w:lvl w:ilvl="0">
      <w:lvlJc w:val="left"/>
      <w:lvlText w:val="(%1)"/>
      <w:numFmt w:val="lowerLetter"/>
      <w:start w:val="3"/>
    </w:lvl>
  </w:abstractNum>
  <w:abstractNum w:abstractNumId="218">
    <w:nsid w:val="53280662"/>
    <w:multiLevelType w:val="hybridMultilevel"/>
    <w:lvl w:ilvl="0">
      <w:lvlJc w:val="left"/>
      <w:lvlText w:val="(%1)"/>
      <w:numFmt w:val="lowerLetter"/>
      <w:start w:val="1"/>
    </w:lvl>
  </w:abstractNum>
  <w:abstractNum w:abstractNumId="219">
    <w:nsid w:val="46B24DBC"/>
    <w:multiLevelType w:val="hybridMultilevel"/>
    <w:lvl w:ilvl="0">
      <w:lvlJc w:val="left"/>
      <w:lvlText w:val="(%1)"/>
      <w:numFmt w:val="lowerLetter"/>
      <w:start w:val="1"/>
    </w:lvl>
  </w:abstractNum>
  <w:abstractNum w:abstractNumId="220">
    <w:nsid w:val="75B52783"/>
    <w:multiLevelType w:val="hybridMultilevel"/>
    <w:lvl w:ilvl="0">
      <w:lvlJc w:val="left"/>
      <w:lvlText w:val="(%1)"/>
      <w:numFmt w:val="lowerLetter"/>
      <w:start w:val="3"/>
    </w:lvl>
  </w:abstractNum>
  <w:abstractNum w:abstractNumId="221">
    <w:nsid w:val="57CE66B4"/>
    <w:multiLevelType w:val="hybridMultilevel"/>
    <w:lvl w:ilvl="0">
      <w:lvlJc w:val="left"/>
      <w:lvlText w:val="(%1)"/>
      <w:numFmt w:val="lowerLetter"/>
      <w:start w:val="1"/>
    </w:lvl>
  </w:abstractNum>
  <w:abstractNum w:abstractNumId="222">
    <w:nsid w:val="67A70B69"/>
    <w:multiLevelType w:val="hybridMultilevel"/>
    <w:lvl w:ilvl="0">
      <w:lvlJc w:val="left"/>
      <w:lvlText w:val="(%1)"/>
      <w:numFmt w:val="lowerLetter"/>
      <w:start w:val="1"/>
    </w:lvl>
  </w:abstractNum>
  <w:abstractNum w:abstractNumId="223">
    <w:nsid w:val="5953172F"/>
    <w:multiLevelType w:val="hybridMultilevel"/>
    <w:lvl w:ilvl="0">
      <w:lvlJc w:val="left"/>
      <w:lvlText w:val="(%1)"/>
      <w:numFmt w:val="lowerLetter"/>
      <w:start w:val="2"/>
    </w:lvl>
  </w:abstractNum>
  <w:abstractNum w:abstractNumId="224">
    <w:nsid w:val="27EDFE3A"/>
    <w:multiLevelType w:val="hybridMultilevel"/>
    <w:lvl w:ilvl="0">
      <w:lvlJc w:val="left"/>
      <w:lvlText w:val="(%1)"/>
      <w:numFmt w:val="lowerLetter"/>
      <w:start w:val="1"/>
    </w:lvl>
  </w:abstractNum>
  <w:abstractNum w:abstractNumId="225">
    <w:nsid w:val="52AC7DFF"/>
    <w:multiLevelType w:val="hybridMultilevel"/>
    <w:lvl w:ilvl="0">
      <w:lvlJc w:val="left"/>
      <w:lvlText w:val="(%1)"/>
      <w:numFmt w:val="lowerLetter"/>
      <w:start w:val="1"/>
    </w:lvl>
  </w:abstractNum>
  <w:abstractNum w:abstractNumId="226">
    <w:nsid w:val="C4C3AF"/>
    <w:multiLevelType w:val="hybridMultilevel"/>
    <w:lvl w:ilvl="0">
      <w:lvlJc w:val="left"/>
      <w:lvlText w:val="%1."/>
      <w:numFmt w:val="decimal"/>
      <w:start w:val="1"/>
    </w:lvl>
  </w:abstractNum>
  <w:abstractNum w:abstractNumId="227">
    <w:nsid w:val="44380727"/>
    <w:multiLevelType w:val="hybridMultilevel"/>
    <w:lvl w:ilvl="0">
      <w:lvlJc w:val="left"/>
      <w:lvlText w:val="%1."/>
      <w:numFmt w:val="decimal"/>
      <w:start w:val="3"/>
    </w:lvl>
  </w:abstractNum>
  <w:abstractNum w:abstractNumId="228">
    <w:nsid w:val="6C053B16"/>
    <w:multiLevelType w:val="hybridMultilevel"/>
    <w:lvl w:ilvl="0">
      <w:lvlJc w:val="left"/>
      <w:lvlText w:val="%1."/>
      <w:numFmt w:val="decimal"/>
      <w:start w:val="4"/>
    </w:lvl>
  </w:abstractNum>
  <w:abstractNum w:abstractNumId="229">
    <w:nsid w:val="4F294393"/>
    <w:multiLevelType w:val="hybridMultilevel"/>
    <w:lvl w:ilvl="0">
      <w:lvlJc w:val="left"/>
      <w:lvlText w:val="%1)"/>
      <w:numFmt w:val="lowerLetter"/>
      <w:start w:val="1"/>
    </w:lvl>
  </w:abstractNum>
  <w:abstractNum w:abstractNumId="230">
    <w:nsid w:val="5243BFAC"/>
    <w:multiLevelType w:val="hybridMultilevel"/>
    <w:lvl w:ilvl="0">
      <w:lvlJc w:val="left"/>
      <w:lvlText w:val="%1"/>
      <w:numFmt w:val="decimal"/>
      <w:start w:val="1"/>
    </w:lvl>
    <w:lvl w:ilvl="1">
      <w:lvlJc w:val="left"/>
      <w:lvlText w:val="%2)"/>
      <w:numFmt w:val="lowerLetter"/>
      <w:start w:val="3"/>
    </w:lvl>
  </w:abstractNum>
  <w:abstractNum w:abstractNumId="231">
    <w:nsid w:val="425EB207"/>
    <w:multiLevelType w:val="hybridMultilevel"/>
    <w:lvl w:ilvl="0">
      <w:lvlJc w:val="left"/>
      <w:lvlText w:val="%1."/>
      <w:numFmt w:val="decimal"/>
      <w:start w:val="5"/>
    </w:lvl>
    <w:lvl w:ilvl="1">
      <w:lvlJc w:val="left"/>
      <w:lvlText w:val="%2)"/>
      <w:numFmt w:val="lowerLetter"/>
      <w:start w:val="1"/>
    </w:lvl>
  </w:abstractNum>
  <w:abstractNum w:abstractNumId="232">
    <w:nsid w:val="334A6F1F"/>
    <w:multiLevelType w:val="hybridMultilevel"/>
    <w:lvl w:ilvl="0">
      <w:lvlJc w:val="left"/>
      <w:lvlText w:val="%1"/>
      <w:numFmt w:val="lowerLetter"/>
      <w:start w:val="1"/>
    </w:lvl>
    <w:lvl w:ilvl="1">
      <w:lvlJc w:val="left"/>
      <w:lvlText w:val="%2."/>
      <w:numFmt w:val="decimal"/>
      <w:start w:val="1"/>
    </w:lvl>
  </w:abstractNum>
  <w:abstractNum w:abstractNumId="233">
    <w:nsid w:val="2E5B12B8"/>
    <w:multiLevelType w:val="hybridMultilevel"/>
    <w:lvl w:ilvl="0">
      <w:lvlJc w:val="left"/>
      <w:lvlText w:val="%1)"/>
      <w:numFmt w:val="lowerLetter"/>
      <w:start w:val="1"/>
    </w:lvl>
    <w:lvl w:ilvl="1">
      <w:lvlJc w:val="left"/>
      <w:lvlText w:val="%2"/>
      <w:numFmt w:val="decimal"/>
      <w:start w:val="1"/>
    </w:lvl>
  </w:abstractNum>
  <w:abstractNum w:abstractNumId="234">
    <w:nsid w:val="5C03D76D"/>
    <w:multiLevelType w:val="hybridMultilevel"/>
    <w:lvl w:ilvl="0">
      <w:lvlJc w:val="left"/>
      <w:lvlText w:val="%1)"/>
      <w:numFmt w:val="lowerLetter"/>
      <w:start w:val="4"/>
    </w:lvl>
  </w:abstractNum>
  <w:abstractNum w:abstractNumId="235">
    <w:nsid w:val="66A48D11"/>
    <w:multiLevelType w:val="hybridMultilevel"/>
    <w:lvl w:ilvl="0">
      <w:lvlJc w:val="left"/>
      <w:lvlText w:val="%1."/>
      <w:numFmt w:val="decimal"/>
      <w:start w:val="5"/>
    </w:lvl>
  </w:abstractNum>
  <w:abstractNum w:abstractNumId="236">
    <w:nsid w:val="56C28E34"/>
    <w:multiLevelType w:val="hybridMultilevel"/>
    <w:lvl w:ilvl="0">
      <w:lvlJc w:val="left"/>
      <w:lvlText w:val="%1)"/>
      <w:numFmt w:val="lowerLetter"/>
      <w:start w:val="1"/>
    </w:lvl>
  </w:abstractNum>
  <w:abstractNum w:abstractNumId="237">
    <w:nsid w:val="13916F2D"/>
    <w:multiLevelType w:val="hybridMultilevel"/>
    <w:lvl w:ilvl="0">
      <w:lvlJc w:val="left"/>
      <w:lvlText w:val="(%1)"/>
      <w:numFmt w:val="decimal"/>
      <w:start w:val="1"/>
    </w:lvl>
  </w:abstractNum>
  <w:abstractNum w:abstractNumId="238">
    <w:nsid w:val="435D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107" Type="http://schemas.openxmlformats.org/officeDocument/2006/relationships/image" Target="media/image62.png"/><Relationship Id="rId108" Type="http://schemas.openxmlformats.org/officeDocument/2006/relationships/image" Target="media/image63.png"/><Relationship Id="rId129" Type="http://schemas.openxmlformats.org/officeDocument/2006/relationships/image" Target="media/image64.png"/><Relationship Id="rId130" Type="http://schemas.openxmlformats.org/officeDocument/2006/relationships/image" Target="media/image65.png"/><Relationship Id="rId146" Type="http://schemas.openxmlformats.org/officeDocument/2006/relationships/image" Target="media/image66.png"/><Relationship Id="rId147" Type="http://schemas.openxmlformats.org/officeDocument/2006/relationships/image" Target="media/image67.png"/><Relationship Id="rId154" Type="http://schemas.openxmlformats.org/officeDocument/2006/relationships/image" Target="media/image68.png"/><Relationship Id="rId155" Type="http://schemas.openxmlformats.org/officeDocument/2006/relationships/image" Target="media/image69.png"/><Relationship Id="rId156" Type="http://schemas.openxmlformats.org/officeDocument/2006/relationships/image" Target="media/image70.png"/><Relationship Id="rId157" Type="http://schemas.openxmlformats.org/officeDocument/2006/relationships/image" Target="media/image71.png"/><Relationship Id="rId158" Type="http://schemas.openxmlformats.org/officeDocument/2006/relationships/image" Target="media/image72.png"/><Relationship Id="rId159" Type="http://schemas.openxmlformats.org/officeDocument/2006/relationships/image" Target="media/image73.png"/><Relationship Id="rId160" Type="http://schemas.openxmlformats.org/officeDocument/2006/relationships/image" Target="media/image74.png"/><Relationship Id="rId161" Type="http://schemas.openxmlformats.org/officeDocument/2006/relationships/image" Target="media/image75.png"/><Relationship Id="rId162" Type="http://schemas.openxmlformats.org/officeDocument/2006/relationships/image" Target="media/image76.png"/><Relationship Id="rId163" Type="http://schemas.openxmlformats.org/officeDocument/2006/relationships/image" Target="media/image77.png"/><Relationship Id="rId164" Type="http://schemas.openxmlformats.org/officeDocument/2006/relationships/image" Target="media/image78.png"/><Relationship Id="rId165" Type="http://schemas.openxmlformats.org/officeDocument/2006/relationships/image" Target="media/image79.png"/><Relationship Id="rId166" Type="http://schemas.openxmlformats.org/officeDocument/2006/relationships/image" Target="media/image80.png"/><Relationship Id="rId167" Type="http://schemas.openxmlformats.org/officeDocument/2006/relationships/image" Target="media/image81.png"/><Relationship Id="rId168" Type="http://schemas.openxmlformats.org/officeDocument/2006/relationships/image" Target="media/image82.png"/><Relationship Id="rId169" Type="http://schemas.openxmlformats.org/officeDocument/2006/relationships/image" Target="media/image83.png"/><Relationship Id="rId170" Type="http://schemas.openxmlformats.org/officeDocument/2006/relationships/image" Target="media/image84.png"/><Relationship Id="rId171" Type="http://schemas.openxmlformats.org/officeDocument/2006/relationships/image" Target="media/image85.png"/><Relationship Id="rId172" Type="http://schemas.openxmlformats.org/officeDocument/2006/relationships/image" Target="media/image86.png"/><Relationship Id="rId173" Type="http://schemas.openxmlformats.org/officeDocument/2006/relationships/image" Target="media/image87.png"/><Relationship Id="rId174" Type="http://schemas.openxmlformats.org/officeDocument/2006/relationships/image" Target="media/image88.png"/><Relationship Id="rId175" Type="http://schemas.openxmlformats.org/officeDocument/2006/relationships/image" Target="media/image89.png"/><Relationship Id="rId176" Type="http://schemas.openxmlformats.org/officeDocument/2006/relationships/image" Target="media/image90.png"/><Relationship Id="rId177" Type="http://schemas.openxmlformats.org/officeDocument/2006/relationships/image" Target="media/image91.png"/><Relationship Id="rId178" Type="http://schemas.openxmlformats.org/officeDocument/2006/relationships/image" Target="media/image92.png"/><Relationship Id="rId179" Type="http://schemas.openxmlformats.org/officeDocument/2006/relationships/image" Target="media/image93.png"/><Relationship Id="rId180" Type="http://schemas.openxmlformats.org/officeDocument/2006/relationships/image" Target="media/image94.png"/><Relationship Id="rId181" Type="http://schemas.openxmlformats.org/officeDocument/2006/relationships/image" Target="media/image95.png"/><Relationship Id="rId182" Type="http://schemas.openxmlformats.org/officeDocument/2006/relationships/image" Target="media/image96.png"/><Relationship Id="rId183" Type="http://schemas.openxmlformats.org/officeDocument/2006/relationships/image" Target="media/image97.png"/><Relationship Id="rId184" Type="http://schemas.openxmlformats.org/officeDocument/2006/relationships/image" Target="media/image98.png"/><Relationship Id="rId185" Type="http://schemas.openxmlformats.org/officeDocument/2006/relationships/image" Target="media/image99.png"/><Relationship Id="rId186" Type="http://schemas.openxmlformats.org/officeDocument/2006/relationships/image" Target="media/image100.png"/><Relationship Id="rId187" Type="http://schemas.openxmlformats.org/officeDocument/2006/relationships/image" Target="media/image101.png"/><Relationship Id="rId188" Type="http://schemas.openxmlformats.org/officeDocument/2006/relationships/image" Target="media/image102.png"/><Relationship Id="rId189" Type="http://schemas.openxmlformats.org/officeDocument/2006/relationships/image" Target="media/image103.png"/><Relationship Id="rId190" Type="http://schemas.openxmlformats.org/officeDocument/2006/relationships/image" Target="media/image104.png"/><Relationship Id="rId191" Type="http://schemas.openxmlformats.org/officeDocument/2006/relationships/image" Target="media/image105.png"/><Relationship Id="rId192" Type="http://schemas.openxmlformats.org/officeDocument/2006/relationships/image" Target="media/image106.png"/><Relationship Id="rId193" Type="http://schemas.openxmlformats.org/officeDocument/2006/relationships/image" Target="media/image107.png"/><Relationship Id="rId194" Type="http://schemas.openxmlformats.org/officeDocument/2006/relationships/image" Target="media/image108.png"/><Relationship Id="rId195" Type="http://schemas.openxmlformats.org/officeDocument/2006/relationships/image" Target="media/image109.png"/><Relationship Id="rId196" Type="http://schemas.openxmlformats.org/officeDocument/2006/relationships/image" Target="media/image110.png"/><Relationship Id="rId197" Type="http://schemas.openxmlformats.org/officeDocument/2006/relationships/image" Target="media/image111.png"/><Relationship Id="rId198" Type="http://schemas.openxmlformats.org/officeDocument/2006/relationships/image" Target="media/image112.png"/><Relationship Id="rId199" Type="http://schemas.openxmlformats.org/officeDocument/2006/relationships/image" Target="media/image113.png"/><Relationship Id="rId200" Type="http://schemas.openxmlformats.org/officeDocument/2006/relationships/image" Target="media/image114.png"/><Relationship Id="rId201" Type="http://schemas.openxmlformats.org/officeDocument/2006/relationships/image" Target="media/image115.png"/><Relationship Id="rId202" Type="http://schemas.openxmlformats.org/officeDocument/2006/relationships/image" Target="media/image116.png"/><Relationship Id="rId203" Type="http://schemas.openxmlformats.org/officeDocument/2006/relationships/image" Target="media/image117.png"/><Relationship Id="rId204" Type="http://schemas.openxmlformats.org/officeDocument/2006/relationships/image" Target="media/image118.png"/><Relationship Id="rId205" Type="http://schemas.openxmlformats.org/officeDocument/2006/relationships/image" Target="media/image119.png"/><Relationship Id="rId206" Type="http://schemas.openxmlformats.org/officeDocument/2006/relationships/image" Target="media/image120.png"/><Relationship Id="rId207" Type="http://schemas.openxmlformats.org/officeDocument/2006/relationships/image" Target="media/image121.png"/><Relationship Id="rId208" Type="http://schemas.openxmlformats.org/officeDocument/2006/relationships/image" Target="media/image122.png"/><Relationship Id="rId209" Type="http://schemas.openxmlformats.org/officeDocument/2006/relationships/image" Target="media/image123.png"/><Relationship Id="rId210" Type="http://schemas.openxmlformats.org/officeDocument/2006/relationships/image" Target="media/image124.png"/><Relationship Id="rId211" Type="http://schemas.openxmlformats.org/officeDocument/2006/relationships/image" Target="media/image125.png"/><Relationship Id="rId212" Type="http://schemas.openxmlformats.org/officeDocument/2006/relationships/image" Target="media/image126.png"/><Relationship Id="rId213" Type="http://schemas.openxmlformats.org/officeDocument/2006/relationships/image" Target="media/image127.png"/><Relationship Id="rId214" Type="http://schemas.openxmlformats.org/officeDocument/2006/relationships/image" Target="media/image128.png"/><Relationship Id="rId215" Type="http://schemas.openxmlformats.org/officeDocument/2006/relationships/image" Target="media/image129.png"/><Relationship Id="rId216"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19" Type="http://schemas.openxmlformats.org/officeDocument/2006/relationships/image" Target="media/image133.png"/><Relationship Id="rId220" Type="http://schemas.openxmlformats.org/officeDocument/2006/relationships/image" Target="media/image134.png"/><Relationship Id="rId221" Type="http://schemas.openxmlformats.org/officeDocument/2006/relationships/image" Target="media/image135.png"/><Relationship Id="rId222" Type="http://schemas.openxmlformats.org/officeDocument/2006/relationships/image" Target="media/image136.png"/><Relationship Id="rId223" Type="http://schemas.openxmlformats.org/officeDocument/2006/relationships/image" Target="media/image137.png"/><Relationship Id="rId224" Type="http://schemas.openxmlformats.org/officeDocument/2006/relationships/image" Target="media/image138.png"/><Relationship Id="rId225" Type="http://schemas.openxmlformats.org/officeDocument/2006/relationships/image" Target="media/image139.png"/><Relationship Id="rId226" Type="http://schemas.openxmlformats.org/officeDocument/2006/relationships/image" Target="media/image140.png"/><Relationship Id="rId227" Type="http://schemas.openxmlformats.org/officeDocument/2006/relationships/image" Target="media/image141.png"/><Relationship Id="rId228" Type="http://schemas.openxmlformats.org/officeDocument/2006/relationships/image" Target="media/image142.png"/><Relationship Id="rId229" Type="http://schemas.openxmlformats.org/officeDocument/2006/relationships/image" Target="media/image143.png"/><Relationship Id="rId230" Type="http://schemas.openxmlformats.org/officeDocument/2006/relationships/image" Target="media/image144.png"/><Relationship Id="rId231" Type="http://schemas.openxmlformats.org/officeDocument/2006/relationships/image" Target="media/image145.png"/><Relationship Id="rId232" Type="http://schemas.openxmlformats.org/officeDocument/2006/relationships/image" Target="media/image146.png"/><Relationship Id="rId233" Type="http://schemas.openxmlformats.org/officeDocument/2006/relationships/image" Target="media/image147.png"/><Relationship Id="rId234" Type="http://schemas.openxmlformats.org/officeDocument/2006/relationships/image" Target="media/image148.png"/><Relationship Id="rId235" Type="http://schemas.openxmlformats.org/officeDocument/2006/relationships/image" Target="media/image149.png"/><Relationship Id="rId236" Type="http://schemas.openxmlformats.org/officeDocument/2006/relationships/image" Target="media/image150.png"/><Relationship Id="rId237" Type="http://schemas.openxmlformats.org/officeDocument/2006/relationships/image" Target="media/image151.png"/><Relationship Id="rId238" Type="http://schemas.openxmlformats.org/officeDocument/2006/relationships/image" Target="media/image152.png"/><Relationship Id="rId239" Type="http://schemas.openxmlformats.org/officeDocument/2006/relationships/image" Target="media/image153.png"/><Relationship Id="rId240" Type="http://schemas.openxmlformats.org/officeDocument/2006/relationships/image" Target="media/image154.png"/><Relationship Id="rId241" Type="http://schemas.openxmlformats.org/officeDocument/2006/relationships/image" Target="media/image155.png"/><Relationship Id="rId242" Type="http://schemas.openxmlformats.org/officeDocument/2006/relationships/image" Target="media/image156.png"/><Relationship Id="rId243" Type="http://schemas.openxmlformats.org/officeDocument/2006/relationships/image" Target="media/image157.png"/><Relationship Id="rId244" Type="http://schemas.openxmlformats.org/officeDocument/2006/relationships/image" Target="media/image158.png"/><Relationship Id="rId245" Type="http://schemas.openxmlformats.org/officeDocument/2006/relationships/image" Target="media/image159.png"/><Relationship Id="rId246" Type="http://schemas.openxmlformats.org/officeDocument/2006/relationships/image" Target="media/image160.png"/><Relationship Id="rId247" Type="http://schemas.openxmlformats.org/officeDocument/2006/relationships/image" Target="media/image161.jpeg"/><Relationship Id="rId248" Type="http://schemas.openxmlformats.org/officeDocument/2006/relationships/image" Target="media/image162.png"/><Relationship Id="rId249" Type="http://schemas.openxmlformats.org/officeDocument/2006/relationships/image" Target="media/image163.png"/><Relationship Id="rId250" Type="http://schemas.openxmlformats.org/officeDocument/2006/relationships/image" Target="media/image164.png"/><Relationship Id="rId251"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54" Type="http://schemas.openxmlformats.org/officeDocument/2006/relationships/image" Target="media/image168.png"/><Relationship Id="rId255" Type="http://schemas.openxmlformats.org/officeDocument/2006/relationships/image" Target="media/image169.png"/><Relationship Id="rId256" Type="http://schemas.openxmlformats.org/officeDocument/2006/relationships/image" Target="media/image170.png"/><Relationship Id="rId257" Type="http://schemas.openxmlformats.org/officeDocument/2006/relationships/image" Target="media/image171.png"/><Relationship Id="rId258" Type="http://schemas.openxmlformats.org/officeDocument/2006/relationships/image" Target="media/image172.png"/><Relationship Id="rId259" Type="http://schemas.openxmlformats.org/officeDocument/2006/relationships/image" Target="media/image173.png"/><Relationship Id="rId260" Type="http://schemas.openxmlformats.org/officeDocument/2006/relationships/image" Target="media/image174.png"/><Relationship Id="rId261" Type="http://schemas.openxmlformats.org/officeDocument/2006/relationships/image" Target="media/image175.png"/><Relationship Id="rId262" Type="http://schemas.openxmlformats.org/officeDocument/2006/relationships/image" Target="media/image176.png"/><Relationship Id="rId263" Type="http://schemas.openxmlformats.org/officeDocument/2006/relationships/image" Target="media/image177.png"/><Relationship Id="rId264" Type="http://schemas.openxmlformats.org/officeDocument/2006/relationships/image" Target="media/image178.png"/><Relationship Id="rId265" Type="http://schemas.openxmlformats.org/officeDocument/2006/relationships/image" Target="media/image179.png"/><Relationship Id="rId266" Type="http://schemas.openxmlformats.org/officeDocument/2006/relationships/image" Target="media/image180.png"/><Relationship Id="rId267" Type="http://schemas.openxmlformats.org/officeDocument/2006/relationships/image" Target="media/image181.png"/><Relationship Id="rId26" Type="http://schemas.openxmlformats.org/officeDocument/2006/relationships/hyperlink" Target="https://www.sec.gov/ix?doc=/Archives/edgar/data/946581/000162828023019851/ttwo-20230331.htm" TargetMode="External"/><Relationship Id="rId55" Type="http://schemas.openxmlformats.org/officeDocument/2006/relationships/hyperlink" Target="https://www.sec.gov/ix?doc=/Archives/edgar/data/0000946581/000162828024024623/ttwo-20240331.htm#i2d59b5c11ba24b45a19a18b8dbbfdcc8_46" TargetMode="External"/><Relationship Id="rId69" Type="http://schemas.openxmlformats.org/officeDocument/2006/relationships/hyperlink" Target="https://www.sec.gov/Archives/edgar/data/946581/000112528204000439/b330117ex3_1.txt" TargetMode="External"/><Relationship Id="rId70" Type="http://schemas.openxmlformats.org/officeDocument/2006/relationships/hyperlink" Target="https://www.sec.gov/Archives/edgar/data/946581/000112528204000439/b330117ex3_1-2.txt" TargetMode="External"/><Relationship Id="rId71" Type="http://schemas.openxmlformats.org/officeDocument/2006/relationships/hyperlink" Target="https://www.sec.gov/Archives/edgar/data/946581/000112528204000439/b330117ex3_1-3.txt" TargetMode="External"/><Relationship Id="rId72" Type="http://schemas.openxmlformats.org/officeDocument/2006/relationships/hyperlink" Target="https://www.sec.gov/Archives/edgar/data/946581/000110465909025827/a09-10859_1ex3d1.htm" TargetMode="External"/><Relationship Id="rId73" Type="http://schemas.openxmlformats.org/officeDocument/2006/relationships/hyperlink" Target="https://www.sec.gov/Archives/edgar/data/946581/000110465912065069/a12-21962_1ex3d1.htm" TargetMode="External"/><Relationship Id="rId74" Type="http://schemas.openxmlformats.org/officeDocument/2006/relationships/hyperlink" Target="https://www.sec.gov/Archives/edgar/data/946581/000119312522160004/d306239dex31.htm" TargetMode="External"/><Relationship Id="rId75" Type="http://schemas.openxmlformats.org/officeDocument/2006/relationships/hyperlink" Target="https://www.sec.gov/Archives/edgar/data/946581/000112528204000439/b330117ex3_1-1.txt" TargetMode="External"/><Relationship Id="rId76" Type="http://schemas.openxmlformats.org/officeDocument/2006/relationships/hyperlink" Target="https://www.sec.gov/Archives/edgar/data/946581/000110465908019702/a08-9031_2ex4d2.htm" TargetMode="External"/><Relationship Id="rId77" Type="http://schemas.openxmlformats.org/officeDocument/2006/relationships/hyperlink" Target="https://www.sec.gov/Archives/edgar/data/946581/000162828023000631/fourthamendedandrestatedby.htm" TargetMode="External"/><Relationship Id="rId78" Type="http://schemas.openxmlformats.org/officeDocument/2006/relationships/hyperlink" Target="https://www.sec.gov/Archives/edgar/data/946581/000162828024024623/ex-41xdescriptionofregistr.htm" TargetMode="External"/><Relationship Id="rId79" Type="http://schemas.openxmlformats.org/officeDocument/2006/relationships/hyperlink" Target="https://www.sec.gov/Archives/edgar/data/0000946581/000119312522105680/d318198dex41.htm" TargetMode="External"/><Relationship Id="rId80" Type="http://schemas.openxmlformats.org/officeDocument/2006/relationships/hyperlink" Target="https://www.sec.gov/Archives/edgar/data/0000946581/000119312522105680/d318198dex42.htm" TargetMode="External"/><Relationship Id="rId81" Type="http://schemas.openxmlformats.org/officeDocument/2006/relationships/hyperlink" Target="https://www.sec.gov/Archives/edgar/data/0000946581/000119312522105680/d318198dex43.htm" TargetMode="External"/><Relationship Id="rId82" Type="http://schemas.openxmlformats.org/officeDocument/2006/relationships/hyperlink" Target="https://www.sec.gov/Archives/edgar/data/0000946581/000119312522105680/d318198dex44.htm" TargetMode="External"/><Relationship Id="rId83" Type="http://schemas.openxmlformats.org/officeDocument/2006/relationships/hyperlink" Target="https://www.sec.gov/Archives/edgar/data/0000946581/000119312522105680/d318198dex45.htm" TargetMode="External"/><Relationship Id="rId84" Type="http://schemas.openxmlformats.org/officeDocument/2006/relationships/hyperlink" Target="https://www.sec.gov/Archives/edgar/data/946581/000119312523102153/d500281dex41.htm" TargetMode="External"/><Relationship Id="rId85" Type="http://schemas.openxmlformats.org/officeDocument/2006/relationships/hyperlink" Target="https://www.sec.gov/Archives/edgar/data/946581/000119312523102153/d500281dex42.htm" TargetMode="External"/><Relationship Id="rId86" Type="http://schemas.openxmlformats.org/officeDocument/2006/relationships/hyperlink" Target="https://www.sec.gov/Archives/edgar/data/946581/000119312524159952/d818250dex41.htm" TargetMode="External"/><Relationship Id="rId89" Type="http://schemas.openxmlformats.org/officeDocument/2006/relationships/hyperlink" Target="https://www.sec.gov/Archives/edgar/data/946581/000119312524159952/d818250dex42.htm" TargetMode="External"/><Relationship Id="rId90" Type="http://schemas.openxmlformats.org/officeDocument/2006/relationships/hyperlink" Target="https://www.sec.gov/Archives/edgar/data/1439404/000119312522156900/d303776dex41.htm" TargetMode="External"/><Relationship Id="rId91" Type="http://schemas.openxmlformats.org/officeDocument/2006/relationships/hyperlink" Target="https://www.sec.gov/Archives/edgar/data/1439404/000119312522156900/d303776dex42.htm" TargetMode="External"/><Relationship Id="rId92" Type="http://schemas.openxmlformats.org/officeDocument/2006/relationships/hyperlink" Target="https://www.sec.gov/Archives/edgar/data/946581/000119312525021925/d930805ds3asr.htm" TargetMode="External"/><Relationship Id="rId93" Type="http://schemas.openxmlformats.org/officeDocument/2006/relationships/hyperlink" Target="https://www.sec.gov/Archives/edgar/data/946581/000114420408014086/v105825_ex10-1.htm" TargetMode="External"/><Relationship Id="rId94" Type="http://schemas.openxmlformats.org/officeDocument/2006/relationships/hyperlink" Target="https://www.sec.gov/Archives/edgar/data/946581/000119312516662296/d146119ddef14a.htm#tx146119_32" TargetMode="External"/><Relationship Id="rId95" Type="http://schemas.openxmlformats.org/officeDocument/2006/relationships/hyperlink" Target="https://www.sec.gov/Archives/edgar/data/946581/000104746909006187/a2193344zex-10_2.htm" TargetMode="External"/><Relationship Id="rId96" Type="http://schemas.openxmlformats.org/officeDocument/2006/relationships/hyperlink" Target="https://www.sec.gov/Archives/edgar/data/946581/000104746909006187/a2193344zex-10_3.htm" TargetMode="External"/><Relationship Id="rId97" Type="http://schemas.openxmlformats.org/officeDocument/2006/relationships/hyperlink" Target="https://www.sec.gov/Archives/edgar/data/946581/000104746912007602/a2210397zex-10_1.htm" TargetMode="External"/><Relationship Id="rId98" Type="http://schemas.openxmlformats.org/officeDocument/2006/relationships/hyperlink" Target="https://www.sec.gov/Archives/edgar/data/946581/000104746913010066/a2217131zex-10_1.htm" TargetMode="External"/><Relationship Id="rId99" Type="http://schemas.openxmlformats.org/officeDocument/2006/relationships/hyperlink" Target="https://www.sec.gov/Archives/edgar/data/946581/000104746913010066/a2217131zex-10_2.htm" TargetMode="External"/><Relationship Id="rId100" Type="http://schemas.openxmlformats.org/officeDocument/2006/relationships/hyperlink" Target="https://www.sec.gov/Archives/edgar/data/946581/000104746913010066/a2217131zex-10_3.htm" TargetMode="External"/><Relationship Id="rId101" Type="http://schemas.openxmlformats.org/officeDocument/2006/relationships/hyperlink" Target="https://www.sec.gov/Archives/edgar/data/946581/000104746913010066/a2217131zex-10_4.htm" TargetMode="External"/><Relationship Id="rId102" Type="http://schemas.openxmlformats.org/officeDocument/2006/relationships/hyperlink" Target="https://www.sec.gov/Archives/edgar/data/946581/000104746913010066/a2217131zex-10_5.htm" TargetMode="External"/><Relationship Id="rId103" Type="http://schemas.openxmlformats.org/officeDocument/2006/relationships/hyperlink" Target="https://www.sec.gov/ix?doc=/Archives/edgar/data/0000946581/000130817923000926/lttwo2023_def14a.htm#lttwoa045" TargetMode="External"/><Relationship Id="rId104" Type="http://schemas.openxmlformats.org/officeDocument/2006/relationships/hyperlink" Target="https://www.sec.gov/Archives/edgar/data/946581/000119312520240149/d90600dex992.htm" TargetMode="External"/><Relationship Id="rId105" Type="http://schemas.openxmlformats.org/officeDocument/2006/relationships/hyperlink" Target="https://www.sec.gov/Archives/edgar/data/946581/000119312522167435/d310210dex992.htm" TargetMode="External"/><Relationship Id="rId106" Type="http://schemas.openxmlformats.org/officeDocument/2006/relationships/hyperlink" Target="https://www.sec.gov/Archives/edgar/data/946581/000119312517238644/d330685ddef14a.htm#tx330685_37" TargetMode="External"/><Relationship Id="rId109" Type="http://schemas.openxmlformats.org/officeDocument/2006/relationships/hyperlink" Target="https://www.sec.gov/Archives/edgar/data/946581/000162828019006691/ex-10132ndamendedandrestat.htm" TargetMode="External"/><Relationship Id="rId110" Type="http://schemas.openxmlformats.org/officeDocument/2006/relationships/hyperlink" Target="https://www.sec.gov/Archives/edgar/data/946581/000162828017011117/ttwoex-10x4.htm" TargetMode="External"/><Relationship Id="rId111" Type="http://schemas.openxmlformats.org/officeDocument/2006/relationships/hyperlink" Target="https://www.sec.gov/Archives/edgar/data/946581/000162828017011117/ttwoex-10x5.htm" TargetMode="External"/><Relationship Id="rId112" Type="http://schemas.openxmlformats.org/officeDocument/2006/relationships/hyperlink" Target="https://www.sec.gov/Archives/edgar/data/946581/000162828017011117/ttwoex-10x6.htm" TargetMode="External"/><Relationship Id="rId113" Type="http://schemas.openxmlformats.org/officeDocument/2006/relationships/hyperlink" Target="https://www.sec.gov/Archives/edgar/data/946581/000162828017011117/ttwoex-10x7.htm" TargetMode="External"/><Relationship Id="rId114" Type="http://schemas.openxmlformats.org/officeDocument/2006/relationships/hyperlink" Target="https://www.sec.gov/Archives/edgar/data/946581/000110465910028475/a10-10145_1ex10d1.htm" TargetMode="External"/><Relationship Id="rId115" Type="http://schemas.openxmlformats.org/officeDocument/2006/relationships/hyperlink" Target="https://www.sec.gov/Archives/edgar/data/946581/000110465910053523/a10-19838_1ex10d1.htm" TargetMode="External"/><Relationship Id="rId116" Type="http://schemas.openxmlformats.org/officeDocument/2006/relationships/hyperlink" Target="https://www.sec.gov/Archives/edgar/data/946581/000104746912009896/a2211465zex-10_6.htm" TargetMode="External"/><Relationship Id="rId117" Type="http://schemas.openxmlformats.org/officeDocument/2006/relationships/hyperlink" Target="https://www.sec.gov/Archives/edgar/data/946581/000162828018010376/a063018ttwoex-10x2.htm" TargetMode="External"/><Relationship Id="rId118" Type="http://schemas.openxmlformats.org/officeDocument/2006/relationships/hyperlink" Target="https://www.sec.gov/Archives/edgar/data/946581/000114420408009931/v103944_ex10-3.htm" TargetMode="External"/><Relationship Id="rId119" Type="http://schemas.openxmlformats.org/officeDocument/2006/relationships/hyperlink" Target="https://www.sec.gov/Archives/edgar/data/946581/000104746915000639/a2222916zex-10_1.htm" TargetMode="External"/><Relationship Id="rId120" Type="http://schemas.openxmlformats.org/officeDocument/2006/relationships/hyperlink" Target="https://www.sec.gov/Archives/edgar/data/946581/000110465917069999/a17-27361_1ex10d1.htm" TargetMode="External"/><Relationship Id="rId121" Type="http://schemas.openxmlformats.org/officeDocument/2006/relationships/hyperlink" Target="https://www.sec.gov/Archives/edgar/data/946581/000110465918023988/a18-9988_1ex10d2.htm" TargetMode="External"/><Relationship Id="rId122" Type="http://schemas.openxmlformats.org/officeDocument/2006/relationships/hyperlink" Target="https://www.sec.gov/Archives/edgar/data/946581/000110465919021367/a19-8263_1ex10d2.htm" TargetMode="External"/><Relationship Id="rId123" Type="http://schemas.openxmlformats.org/officeDocument/2006/relationships/hyperlink" Target="https://www.sec.gov/Archives/edgar/data/946581/000110465920045956/a20-15426_1s3asr.htm" TargetMode="External"/><Relationship Id="rId124" Type="http://schemas.openxmlformats.org/officeDocument/2006/relationships/hyperlink" Target="https://www.sec.gov/Archives/edgar/data/0000946581/000110465921049797/tm2112666d1_s3asr.htm" TargetMode="External"/><Relationship Id="rId125" Type="http://schemas.openxmlformats.org/officeDocument/2006/relationships/hyperlink" Target="https://www.sec.gov/Archives/edgar/data/0000946581/000119312522104335/d313669dex102.htm" TargetMode="External"/><Relationship Id="rId126" Type="http://schemas.openxmlformats.org/officeDocument/2006/relationships/hyperlink" Target="https://www.sec.gov/Archives/edgar/data/0000946581/000119312522141376/d356480dex101.htm" TargetMode="External"/><Relationship Id="rId127" Type="http://schemas.openxmlformats.org/officeDocument/2006/relationships/hyperlink" Target="https://www.sec.gov/Archives/edgar/data/946581/000162828022021685/a06302022ttwoex-103.htm" TargetMode="External"/><Relationship Id="rId128" Type="http://schemas.openxmlformats.org/officeDocument/2006/relationships/hyperlink" Target="https://www.sec.gov/Archives/edgar/data/946581/000162828022021685/a06302022ttwoex-104.htm" TargetMode="External"/><Relationship Id="rId131" Type="http://schemas.openxmlformats.org/officeDocument/2006/relationships/hyperlink" Target="https://www.sec.gov/Archives/edgar/data/946581/000162828022021685/a06302022ttwoex-105.htm" TargetMode="External"/><Relationship Id="rId132" Type="http://schemas.openxmlformats.org/officeDocument/2006/relationships/hyperlink" Target="https://www.sec.gov/Archives/edgar/data/946581/000119312523158960/d516552dex102.htm" TargetMode="External"/><Relationship Id="rId133" Type="http://schemas.openxmlformats.org/officeDocument/2006/relationships/hyperlink" Target="https://www.sec.gov/Archives/edgar/data/946581/000119312524153067/d845657ds3asr.htm" TargetMode="External"/><Relationship Id="rId134" Type="http://schemas.openxmlformats.org/officeDocument/2006/relationships/hyperlink" Target="https://www.sec.gov/Archives/edgar/data/946581/000119312522160004/d306239dex101.htm" TargetMode="External"/><Relationship Id="rId135" Type="http://schemas.openxmlformats.org/officeDocument/2006/relationships/hyperlink" Target="https://www.sec.gov/Archives/edgar/data/946581/000162828024024623/ex-1038xamendmentno1tocred.htm" TargetMode="External"/><Relationship Id="rId136" Type="http://schemas.openxmlformats.org/officeDocument/2006/relationships/hyperlink" Target="https://www.sec.gov/Archives/edgar/data/946581/000162828024036273/a06302024ttwoex-103.htm" TargetMode="External"/><Relationship Id="rId137" Type="http://schemas.openxmlformats.org/officeDocument/2006/relationships/hyperlink" Target="https://www.sec.gov/Archives/edgar/data/946581/000104746911009224/a2206110zex-10_3.htm" TargetMode="External"/><Relationship Id="rId138" Type="http://schemas.openxmlformats.org/officeDocument/2006/relationships/hyperlink" Target="https://www.sec.gov/Archives/edgar/data/946581/000104746909006187/a2193344zex-10_1.htm" TargetMode="External"/><Relationship Id="rId139" Type="http://schemas.openxmlformats.org/officeDocument/2006/relationships/hyperlink" Target="https://www.sec.gov/Archives/edgar/data/946581/000104746912000587/a2207032zex-10_1.htm" TargetMode="External"/><Relationship Id="rId140" Type="http://schemas.openxmlformats.org/officeDocument/2006/relationships/hyperlink" Target="https://www.sec.gov/Archives/edgar/data/946581/000104746913000681/a2212680zex-10_2.htm" TargetMode="External"/><Relationship Id="rId141" Type="http://schemas.openxmlformats.org/officeDocument/2006/relationships/hyperlink" Target="https://www.sec.gov/Archives/edgar/data/946581/000104746914000555/a2218068zex-10_2.htm" TargetMode="External"/><Relationship Id="rId142" Type="http://schemas.openxmlformats.org/officeDocument/2006/relationships/hyperlink" Target="https://www.sec.gov/Archives/edgar/data/946581/000104746914008670/a2221879zex-10_1.htm" TargetMode="External"/><Relationship Id="rId143" Type="http://schemas.openxmlformats.org/officeDocument/2006/relationships/hyperlink" Target="https://www.sec.gov/Archives/edgar/data/946581/000162828018001226/ttwoex-10x2.htm" TargetMode="External"/><Relationship Id="rId144" Type="http://schemas.openxmlformats.org/officeDocument/2006/relationships/hyperlink" Target="https://www.sec.gov/Archives/edgar/data/0000946581/000162828020015824/xboxagreement.htm" TargetMode="External"/><Relationship Id="rId145" Type="http://schemas.openxmlformats.org/officeDocument/2006/relationships/hyperlink" Target="https://www.sec.gov/Archives/edgar/data/946581/000162828017005833/ex10-48.htm" TargetMode="External"/><Relationship Id="rId148" Type="http://schemas.openxmlformats.org/officeDocument/2006/relationships/hyperlink" Target="https://www.sec.gov/Archives/edgar/data/0000946581/000162828020015824/playstationagreement.htm" TargetMode="External"/><Relationship Id="rId149" Type="http://schemas.openxmlformats.org/officeDocument/2006/relationships/hyperlink" Target="https://www.sec.gov/Archives/edgar/data/946581/000104746917000578/a2230843zex-10_1.htm" TargetMode="External"/><Relationship Id="rId150" Type="http://schemas.openxmlformats.org/officeDocument/2006/relationships/hyperlink" Target="https://www.sec.gov/Archives/edgar/data/946581/000162828018013920/a093018ttwoex-10x1.htm" TargetMode="External"/><Relationship Id="rId151" Type="http://schemas.openxmlformats.org/officeDocument/2006/relationships/hyperlink" Target="https://www.sec.gov/Archives/edgar/data/0000946581/000162828021021561/taketwosecondamendmenttole.htm" TargetMode="External"/><Relationship Id="rId152" Type="http://schemas.openxmlformats.org/officeDocument/2006/relationships/hyperlink" Target="https://www.sec.gov/Archives/edgar/data/0000946581/000162828024024623/ex-191xt2securitiestrading.htm" TargetMode="External"/><Relationship Id="rId153" Type="http://schemas.openxmlformats.org/officeDocument/2006/relationships/hyperlink" Target="https://www.sec.gov/Archives/edgar/data/0000946581/000162828024024623/ex-971x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2025-05-20T05:40:06Z</dcterms:created>
  <dcterms:modified xsi:type="dcterms:W3CDTF">2025-05-20T05:40:06Z</dcterms:modified>
</cp:coreProperties>
</file>