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Emerson Daniel P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124.232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(i) 136 shares of Common Stock, (ii) 17,909 unvested time-based restricted stock units, and (iii) 74,146 unvested performance-based restricted stock units. Such unvested awards will vest, or fail to vest, in accordance with the terms of the applicable award agreements.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Daniel Emerson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06/17/2022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3654" TargetMode="External"/><Relationship Id="rId13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2022-06-17T15:24:26Z</dcterms:created>
  <dcterms:modified xsi:type="dcterms:W3CDTF">2022-06-17T15:24:26Z</dcterms:modified>
</cp:coreProperties>
</file>