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4, 2020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-573405</wp:posOffset>
            </wp:positionH>
            <wp:positionV relativeFrom="paragraph">
              <wp:posOffset>57150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42"/>
          <w:szCs w:val="42"/>
          <w:b w:val="1"/>
          <w:bCs w:val="1"/>
          <w:color w:val="auto"/>
        </w:rPr>
        <w:t>TAKE-TWO INTERACTIVE SOFTWARE, INC.</w:t>
      </w:r>
    </w:p>
    <w:p>
      <w:pPr>
        <w:spacing w:after="0" w:line="7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9400"/>
          </w:cols>
          <w:pgMar w:left="1340" w:top="225" w:right="11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51-0350842</w:t>
      </w:r>
    </w:p>
    <w:p>
      <w:pPr>
        <w:spacing w:after="0" w:line="23" w:lineRule="exact"/>
        <w:rPr>
          <w:sz w:val="24"/>
          <w:szCs w:val="24"/>
          <w:color w:val="auto"/>
        </w:rPr>
      </w:pPr>
    </w:p>
    <w:p>
      <w:pPr>
        <w:sectPr>
          <w:pgSz w:w="11900" w:h="16838" w:orient="portrait"/>
          <w:cols w:equalWidth="0" w:num="2">
            <w:col w:w="6380" w:space="720"/>
            <w:col w:w="2300"/>
          </w:cols>
          <w:pgMar w:left="1340" w:top="225" w:right="115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6240" w:space="720"/>
            <w:col w:w="2440"/>
          </w:cols>
          <w:pgMar w:left="1340" w:top="225" w:right="1159" w:bottom="1440" w:gutter="0" w:footer="0" w:header="0"/>
          <w:type w:val="continuous"/>
        </w:sectPr>
      </w:pPr>
    </w:p>
    <w:p>
      <w:pPr>
        <w:spacing w:after="0" w:line="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4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110 West 44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Street</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(646) 536-2842</w:t>
      </w:r>
    </w:p>
    <w:p>
      <w:pPr>
        <w:spacing w:after="0" w:line="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9400"/>
          </w:cols>
          <w:pgMar w:left="1340" w:top="225" w:right="1159" w:bottom="1440" w:gutter="0" w:footer="0" w:header="0"/>
          <w:type w:val="continuous"/>
        </w:sectPr>
      </w:pPr>
    </w:p>
    <w:p>
      <w:pPr>
        <w:spacing w:after="0" w:line="18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TAKE-TWO INTERACTIVE SOFTWARE, INC. 2017 STOCK INCENTIVE PLAN</w:t>
      </w:r>
    </w:p>
    <w:p>
      <w:pPr>
        <w:spacing w:after="0" w:line="1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Daniel Emerson, Esq.</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Legal Officer</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110 West 44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Street</w:t>
      </w:r>
    </w:p>
    <w:p>
      <w:pPr>
        <w:spacing w:after="0" w:line="10"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(646) 536-3001</w:t>
      </w:r>
    </w:p>
    <w:p>
      <w:pPr>
        <w:spacing w:after="0" w:line="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8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Adam M. Turteltaub, Esq.</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Willkie Farr &amp; Gallagher LLP</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787 Seventh Avenue</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(212) 728-8000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9400"/>
          </w:cols>
          <w:pgMar w:left="1340" w:top="225" w:right="1159" w:bottom="1440" w:gutter="0" w:footer="0" w:header="0"/>
          <w:type w:val="continuous"/>
        </w:sectPr>
      </w:pPr>
    </w:p>
    <w:bookmarkStart w:id="1" w:name="page2"/>
    <w:bookmarkEnd w:id="1"/>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54"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5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60" w:type="dxa"/>
            <w:vAlign w:val="bottom"/>
            <w:tcBorders>
              <w:right w:val="single" w:sz="8" w:color="auto"/>
            </w:tcBorders>
          </w:tcPr>
          <w:p>
            <w:pPr>
              <w:jc w:val="center"/>
              <w:ind w:left="4"/>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860" w:type="dxa"/>
            <w:vAlign w:val="bottom"/>
            <w:tcBorders>
              <w:right w:val="single" w:sz="8" w:color="auto"/>
            </w:tcBorders>
          </w:tcPr>
          <w:p>
            <w:pPr>
              <w:jc w:val="center"/>
              <w:ind w:left="4"/>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60" w:type="dxa"/>
            <w:vAlign w:val="bottom"/>
            <w:tcBorders>
              <w:right w:val="single" w:sz="8" w:color="auto"/>
            </w:tcBorders>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60" w:type="dxa"/>
            <w:vAlign w:val="bottom"/>
            <w:tcBorders>
              <w:right w:val="single" w:sz="8" w:color="auto"/>
            </w:tcBorders>
          </w:tcPr>
          <w:p>
            <w:pPr>
              <w:ind w:left="1220"/>
              <w:spacing w:after="0" w:line="160" w:lineRule="exact"/>
              <w:rPr>
                <w:sz w:val="20"/>
                <w:szCs w:val="20"/>
                <w:color w:val="auto"/>
              </w:rPr>
            </w:pPr>
            <w:r>
              <w:rPr>
                <w:rFonts w:ascii="Times New Roman" w:cs="Times New Roman" w:eastAsia="Times New Roman" w:hAnsi="Times New Roman"/>
                <w:sz w:val="14"/>
                <w:szCs w:val="14"/>
                <w:b w:val="1"/>
                <w:bCs w:val="1"/>
                <w:color w:val="auto"/>
              </w:rPr>
              <w:t>Title of Securities</w:t>
            </w:r>
          </w:p>
        </w:tc>
        <w:tc>
          <w:tcPr>
            <w:tcW w:w="1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w:t>
            </w:r>
          </w:p>
        </w:tc>
        <w:tc>
          <w:tcPr>
            <w:tcW w:w="1860" w:type="dxa"/>
            <w:vAlign w:val="bottom"/>
            <w:tcBorders>
              <w:right w:val="single" w:sz="8" w:color="auto"/>
            </w:tcBorders>
          </w:tcPr>
          <w:p>
            <w:pPr>
              <w:jc w:val="center"/>
              <w:ind w:left="4"/>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860" w:type="dxa"/>
            <w:vAlign w:val="bottom"/>
            <w:tcBorders>
              <w:right w:val="single" w:sz="8" w:color="auto"/>
            </w:tcBorders>
          </w:tcPr>
          <w:p>
            <w:pPr>
              <w:jc w:val="center"/>
              <w:ind w:left="4"/>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3560" w:type="dxa"/>
            <w:vAlign w:val="bottom"/>
            <w:tcBorders>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186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6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91"/>
        </w:trPr>
        <w:tc>
          <w:tcPr>
            <w:tcW w:w="3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par value $0.01 per share,</w:t>
            </w:r>
          </w:p>
        </w:tc>
        <w:tc>
          <w:tcPr>
            <w:tcW w:w="18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issuable upon exercise of stock options</w:t>
            </w: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assumed under the Amended and Restated</w:t>
            </w: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Take-Two Interactive Software, Inc. 2017</w:t>
            </w: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Incentive Plan</w:t>
            </w:r>
          </w:p>
        </w:tc>
        <w:tc>
          <w:tcPr>
            <w:tcW w:w="188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rPr>
              <w:t>32,141(2)</w:t>
            </w:r>
          </w:p>
        </w:tc>
        <w:tc>
          <w:tcPr>
            <w:tcW w:w="1860" w:type="dxa"/>
            <w:vAlign w:val="bottom"/>
            <w:tcBorders>
              <w:bottom w:val="single" w:sz="8" w:color="auto"/>
              <w:right w:val="single" w:sz="8" w:color="auto"/>
            </w:tcBorders>
          </w:tcPr>
          <w:p>
            <w:pPr>
              <w:jc w:val="right"/>
              <w:ind w:right="464"/>
              <w:spacing w:after="0"/>
              <w:rPr>
                <w:sz w:val="20"/>
                <w:szCs w:val="20"/>
                <w:color w:val="auto"/>
              </w:rPr>
            </w:pPr>
            <w:r>
              <w:rPr>
                <w:rFonts w:ascii="Times New Roman" w:cs="Times New Roman" w:eastAsia="Times New Roman" w:hAnsi="Times New Roman"/>
                <w:sz w:val="18"/>
                <w:szCs w:val="18"/>
                <w:color w:val="auto"/>
              </w:rPr>
              <w:t>$14.65(4)</w:t>
            </w:r>
          </w:p>
        </w:tc>
        <w:tc>
          <w:tcPr>
            <w:tcW w:w="1860" w:type="dxa"/>
            <w:vAlign w:val="bottom"/>
            <w:tcBorders>
              <w:bottom w:val="single" w:sz="8" w:color="auto"/>
              <w:right w:val="single" w:sz="8" w:color="auto"/>
            </w:tcBorders>
          </w:tcPr>
          <w:p>
            <w:pPr>
              <w:jc w:val="right"/>
              <w:ind w:right="264"/>
              <w:spacing w:after="0"/>
              <w:rPr>
                <w:sz w:val="20"/>
                <w:szCs w:val="20"/>
                <w:color w:val="auto"/>
              </w:rPr>
            </w:pPr>
            <w:r>
              <w:rPr>
                <w:rFonts w:ascii="Times New Roman" w:cs="Times New Roman" w:eastAsia="Times New Roman" w:hAnsi="Times New Roman"/>
                <w:sz w:val="18"/>
                <w:szCs w:val="18"/>
                <w:color w:val="auto"/>
              </w:rPr>
              <w:t>$470,865.65(4)</w:t>
            </w:r>
          </w:p>
        </w:tc>
        <w:tc>
          <w:tcPr>
            <w:tcW w:w="18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$61.12</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8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rPr>
              <w:t>18,602(3)</w:t>
            </w:r>
          </w:p>
        </w:tc>
        <w:tc>
          <w:tcPr>
            <w:tcW w:w="1860" w:type="dxa"/>
            <w:vAlign w:val="bottom"/>
            <w:tcBorders>
              <w:bottom w:val="single" w:sz="8" w:color="auto"/>
              <w:right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color w:val="auto"/>
              </w:rPr>
              <w:t>$168.16(5)</w:t>
            </w:r>
          </w:p>
        </w:tc>
        <w:tc>
          <w:tcPr>
            <w:tcW w:w="1860" w:type="dxa"/>
            <w:vAlign w:val="bottom"/>
            <w:tcBorders>
              <w:bottom w:val="single" w:sz="8" w:color="auto"/>
              <w:right w:val="single" w:sz="8" w:color="auto"/>
            </w:tcBorders>
          </w:tcPr>
          <w:p>
            <w:pPr>
              <w:jc w:val="right"/>
              <w:ind w:right="184"/>
              <w:spacing w:after="0"/>
              <w:rPr>
                <w:sz w:val="20"/>
                <w:szCs w:val="20"/>
                <w:color w:val="auto"/>
              </w:rPr>
            </w:pPr>
            <w:r>
              <w:rPr>
                <w:rFonts w:ascii="Times New Roman" w:cs="Times New Roman" w:eastAsia="Times New Roman" w:hAnsi="Times New Roman"/>
                <w:sz w:val="18"/>
                <w:szCs w:val="18"/>
                <w:color w:val="auto"/>
              </w:rPr>
              <w:t>$3,128,112.32(5)</w:t>
            </w:r>
          </w:p>
        </w:tc>
        <w:tc>
          <w:tcPr>
            <w:tcW w:w="18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rPr>
              <w:t>$406.03</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20" w:hanging="424"/>
        <w:spacing w:after="0" w:line="253"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number of shares of common stock, par value $0.01 per share (“Common Stock”), of Take-Two Interactive Software, Inc. (the “Company” or “Registrant”) stated above, pursuant to Rule 416(a) under the Securities Act of 1933, as amended (the “Securities Act”), this Registration Statement also covers any additional shares of Common Stock that become issuable under the Amended and Restated Take-Two Interactive Software, Inc. 2017 Stock Incentive Plan (the “Plan”) by reason of any stock dividend, stock split, recapitalization or other similar transaction.</w:t>
      </w:r>
    </w:p>
    <w:p>
      <w:pPr>
        <w:spacing w:after="0" w:line="2"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issuable upon exercise of unvested stock options granted under the Playdots, Inc. 2013 Stock Plan, as amended (the “Playdots Plan”), which awards were assumed by the Registrant on September 4, 2020 and converted into stock options of the Registrant as “Substitute Awards” under the Plan, in accordance with, and subject to the terms and conditions of, Rule 5635(c)(3) of the NASDAQ Market Rules and Regulations (“Rule 5635(c)(3)”), in connection with the acquisition (the “Transaction”) of Playdots, Inc. (“Playdots”) pursuant to an Agreement and Plan of Merger (the “Merger Agreement”), dated August 17, 2020, by and among the Registrant, Dash MS, LLC, a Delaware limited liability company and a wholly-owned subsidiary of the Company; Dash MS II, LLC, a Delaware limited liability company and wholly-owned subsidiary of the Company; Playdots; and Shareholder Representative Services LLC, a Colorado limited liability company, solely in its capacity as the representative, agent and attorney-in-fact of the Company Equityholders (as defined in the Merger Agreement).</w:t>
      </w:r>
    </w:p>
    <w:p>
      <w:pPr>
        <w:spacing w:after="0" w:line="3"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 the Registrant has assumed the shares that remained available for future awards under the Playdots Plan and converted such shares into 18,602 shares of Common Stock that may be issued pursuant to future awards granted under the Plan in accordance with, and subject to the terms and conditions of, Rule 5635(c).</w:t>
      </w:r>
    </w:p>
    <w:p>
      <w:pPr>
        <w:spacing w:after="0" w:line="1" w:lineRule="exact"/>
        <w:rPr>
          <w:rFonts w:ascii="Times New Roman" w:cs="Times New Roman" w:eastAsia="Times New Roman" w:hAnsi="Times New Roman"/>
          <w:sz w:val="18"/>
          <w:szCs w:val="18"/>
          <w:color w:val="auto"/>
        </w:rPr>
      </w:pPr>
    </w:p>
    <w:p>
      <w:pPr>
        <w:jc w:val="both"/>
        <w:ind w:left="424" w:right="16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Rules 457(c) and Rule 457(h) of the Securities Act, based on the weighted-average exercise price per share of the outstanding and unvested stock options under the Playdots Plan as assumed by the Registrant.</w:t>
      </w:r>
    </w:p>
    <w:p>
      <w:pPr>
        <w:spacing w:after="0" w:line="1" w:lineRule="exact"/>
        <w:rPr>
          <w:rFonts w:ascii="Times New Roman" w:cs="Times New Roman" w:eastAsia="Times New Roman" w:hAnsi="Times New Roman"/>
          <w:sz w:val="18"/>
          <w:szCs w:val="18"/>
          <w:color w:val="auto"/>
        </w:rPr>
      </w:pPr>
    </w:p>
    <w:p>
      <w:pPr>
        <w:ind w:left="424" w:right="60" w:hanging="424"/>
        <w:spacing w:after="0" w:line="26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amount of the registration fee, pursuant to Rules 457(c) and 457(h) of the Securities Act, based on the average of the high and low sales prices of the Common Stock as reported on The NASDAQ Global Select Market on September 3, 2020.</w:t>
      </w:r>
    </w:p>
    <w:p>
      <w:pPr>
        <w:sectPr>
          <w:pgSz w:w="11900" w:h="16838" w:orient="portrait"/>
          <w:cols w:equalWidth="0" w:num="1">
            <w:col w:w="11024"/>
          </w:cols>
          <w:pgMar w:left="436" w:top="270"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4, 2020, pursuant to the Agreement and Plan of Merger (the “Merger Agreement”), dated August 17, 2020, by and among Take-Two Interactive Software, Inc. (the “Company” or “Registrant”); Dash MS, LLC, a Delaware limited liability company and a wholly-owned subsidiary of the Company; Dash MS II, LLC, a Delaware limited liability company and wholly-owned subsidiary of the Company; Playdots, Inc., a Delaware corporation (“Playdots”); and Shareholder Representative Services LLC, a Colorado limited liability company, solely in its capacity as the representative, agent and attorney-in-fact of the Company Equityholders (as defined in the Merger Agreement), the Company acquired Playdots through a series of mergers (the “Transaction”).</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registers an additional 50,743 shares of the Registrant’s common stock, par value $0.01 per share (“Common Stock”), issuable under the Amended and Restated Take-Two Interactive Software, Inc. 2017 Stock Incentive Plan (the “Plan”), in accordance with, and subject to the terms and conditions of, an exception under Rule 5635(c)(3) of the NASDAQ Market Rules and Regulations (“Rule 5635(c)(3)”), which additional shares of Common Stock represent the sum of the (i) remaining number of shares of common stock, par value $0.0001 per share, of Playdots that were available for issuance under the Playdots, Inc. 2013 Stock Plan, as amended (the “Playdots Plan”), immediately prior to the Transaction, as appropriately adjusted to reflect the Transaction by multiplying such relevant number of shares available for issuance under the Playdots Plan by the quotient (rounded to four decimal places) obtained by dividing (A) $11.17, over (B) the average of the per share closing price on the NASDAQ Global Select Market for one share of Common Stock for the thirty (30) full trading days ending on and including the full trading day three (3) business days immediately prior to the closing date of the Transaction (the “Exchange Ratio”), and (ii) number of unvested stock options granted under the Playdots Plan that were assumed by the Company as “Substitute Awards” under the Plan in accordance with the terms of the Merger Agreement, as appropriately adjusted to reflect the Transaction by multiplying the relevant number of shares underlying such unvested and assumed stock options by the Exchange Ratio.</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an exception under Rule 5635(c)(3), shares that are available for grant under a pre-existing shareholder approved plan of an issuer that is acquired in an acquisition or merger, may be used (after appropriate adjustment of the number of shares to reflect the transaction) by the listed acquiring company for certain post-transaction grants, either under the pre-existing plan or another plan, provided that (i) the plan met the requirements of Rule 5635(c) prior to such transaction, (ii) the time during which those shares are available for grants is not extended beyond the period when they would have been available under the pre-existing plan, absent the transaction, and (iii) such awards are not granted to individuals who were employed by the granting company or its subsidiaries at the time the merger or acquisition was consummated.</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Registration Statement on Form S-8 (Registration No. 333-220895) filed by the Registrant on October 10, 2017 (the “Prior Registration Statement”), the Registrant previously registered an aggregate of 5,200,000 shares of Common Stock under the Plan (as adjusted to reflect all stock splits and stock dividends to date). The additional shares of Common Stock being registered by this Registration Statement are of the same class as those securities registered on the Prior Registration Statement and represent an increase in the total shares available for issuance under the Plan from 6,744,253, of which 2,000,000 shares are subject to approval by our stockholders, to 6,794,996. The contents of the Prior Registration Statement, together with all exhibits filed therewith or incorporated therein by reference to the extent not otherwise amended or superseded by the contents hereof or otherwise, are incorporated herein by reference in accordance with General Instruction E to Form S-8.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this Registration Statement have been or will be sent or given to participating employees as specified in Rule 428(b)(1) of the Securities Act of 1933, as amended</w:t>
      </w:r>
    </w:p>
    <w:p>
      <w:pPr>
        <w:sectPr>
          <w:pgSz w:w="11900" w:h="16838" w:orient="portrait"/>
          <w:cols w:equalWidth="0" w:num="1">
            <w:col w:w="11000"/>
          </w:cols>
          <w:pgMar w:left="440" w:top="266" w:right="45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“Securities Act”), in accordance with the rules and regulations of the United States Securities and Exchange Commission (the “Commission”). Such documents are not being filed with the Commission either as part of this Registration Statement or as prospectuses or prospectus supplements pursuant to Rule 424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Company, are incorporated by reference into this Registration Statement:</w:t>
      </w:r>
    </w:p>
    <w:p>
      <w:pPr>
        <w:spacing w:after="0" w:line="131" w:lineRule="exact"/>
        <w:rPr>
          <w:sz w:val="20"/>
          <w:szCs w:val="20"/>
          <w:color w:val="auto"/>
        </w:rPr>
      </w:pPr>
    </w:p>
    <w:p>
      <w:pPr>
        <w:ind w:left="960" w:right="1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2020, filed on May 22, 2020, pursuant to the Securities Exchange Act of 1934, as amended (the “Exchange Act”);</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2020, filed on August 4, 2020, pursuant to the Exchange Act;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on </w:t>
      </w:r>
      <w:hyperlink r:id="rId20">
        <w:r>
          <w:rPr>
            <w:rFonts w:ascii="Times New Roman" w:cs="Times New Roman" w:eastAsia="Times New Roman" w:hAnsi="Times New Roman"/>
            <w:sz w:val="18"/>
            <w:szCs w:val="18"/>
            <w:u w:val="single" w:color="auto"/>
            <w:color w:val="0000EE"/>
          </w:rPr>
          <w:t>July 16,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August 18, 2020</w:t>
        </w:r>
      </w:hyperlink>
      <w:r>
        <w:rPr>
          <w:rFonts w:ascii="Times New Roman" w:cs="Times New Roman" w:eastAsia="Times New Roman" w:hAnsi="Times New Roman"/>
          <w:sz w:val="18"/>
          <w:szCs w:val="18"/>
          <w:color w:val="auto"/>
        </w:rPr>
        <w:t>, pursuant to the Exchange Act; and</w:t>
      </w:r>
    </w:p>
    <w:p>
      <w:pPr>
        <w:spacing w:after="0" w:line="130" w:lineRule="exact"/>
        <w:rPr>
          <w:rFonts w:ascii="Times New Roman" w:cs="Times New Roman" w:eastAsia="Times New Roman" w:hAnsi="Times New Roman"/>
          <w:sz w:val="18"/>
          <w:szCs w:val="18"/>
          <w:color w:val="auto"/>
        </w:rPr>
      </w:pPr>
    </w:p>
    <w:p>
      <w:pPr>
        <w:jc w:val="both"/>
        <w:ind w:left="960" w:right="40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which is contained in the Company’s Registration Statement on </w:t>
      </w:r>
      <w:hyperlink r:id="rId22">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March 26, 2008, as updated by </w:t>
      </w:r>
      <w:hyperlink r:id="rId2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fiscal year ended March 31, 2020, including any subsequent amendment or any report filed with the Commission for the purpose of updating such description.</w:t>
      </w:r>
    </w:p>
    <w:p>
      <w:pPr>
        <w:spacing w:after="0" w:line="176" w:lineRule="exact"/>
        <w:rPr>
          <w:rFonts w:ascii="Times New Roman" w:cs="Times New Roman" w:eastAsia="Times New Roman" w:hAnsi="Times New Roman"/>
          <w:sz w:val="18"/>
          <w:szCs w:val="18"/>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all documents filed by the Company with the Commission pursuant to Sections 13(a), 13(c), 14, and 15(d) of the Exchange Act subsequent to the date of this Registration Statement and prior to the filing of a post-effective amendment to this Registration Statement which indicates that all of the securities offered hereby have been sold or which deregisters all securities then remaining unsold shall be deemed to be incorporated by reference into this Registration Statement and to be a part hereof from the date of the filing of such documents with the Commission; provided, however, that documents or portions thereof which are “furnished” and not “filed” in accordance with the rules of the Commission shall not be deemed incorporated by reference into this Registration Statement unless the Registrant expressly provides to the contrary that such document is incorporated by reference into this Registration Statement.</w:t>
      </w:r>
    </w:p>
    <w:p>
      <w:pPr>
        <w:spacing w:after="0" w:line="189"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to constitute a part of this Registration Statement except as so modified or superseded.</w:t>
      </w:r>
    </w:p>
    <w:p>
      <w:pPr>
        <w:spacing w:after="0" w:line="324"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Registration Statement are listed in the Index to Exhibits and are incorporated herein by reference.</w:t>
      </w:r>
    </w:p>
    <w:p>
      <w:pPr>
        <w:sectPr>
          <w:pgSz w:w="11900" w:h="16838" w:orient="portrait"/>
          <w:cols w:equalWidth="0" w:num="1">
            <w:col w:w="11000"/>
          </w:cols>
          <w:pgMar w:left="440" w:top="270" w:right="4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INDEX TO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5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4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vMerge w:val="restart"/>
          </w:tcPr>
          <w:p>
            <w:pPr>
              <w:spacing w:after="0"/>
              <w:rPr>
                <w:sz w:val="10"/>
                <w:szCs w:val="10"/>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vMerge w:val="restart"/>
          </w:tcPr>
          <w:p>
            <w:pPr>
              <w:spacing w:after="0"/>
              <w:rPr>
                <w:sz w:val="10"/>
                <w:szCs w:val="10"/>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Annex</w:t>
            </w:r>
          </w:p>
        </w:tc>
        <w:tc>
          <w:tcPr>
            <w:tcW w:w="660" w:type="dxa"/>
            <w:vAlign w:val="bottom"/>
          </w:tcPr>
          <w:p>
            <w:pPr>
              <w:spacing w:after="0"/>
              <w:rPr>
                <w:sz w:val="10"/>
                <w:szCs w:val="10"/>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320" w:type="dxa"/>
            <w:vAlign w:val="bottom"/>
            <w:vMerge w:val="restart"/>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0"/>
        </w:trPr>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5180" w:type="dxa"/>
            <w:vAlign w:val="bottom"/>
            <w:gridSpan w:val="11"/>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Opinion of Willkie Farr &amp; Gallagher LLP</w:t>
              </w:r>
            </w:hyperlink>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83"/>
        </w:trPr>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5"/>
              </w:rPr>
              <w:t>23.1</w:t>
            </w:r>
          </w:p>
        </w:tc>
        <w:tc>
          <w:tcPr>
            <w:tcW w:w="300" w:type="dxa"/>
            <w:vAlign w:val="bottom"/>
          </w:tcPr>
          <w:p>
            <w:pPr>
              <w:spacing w:after="0"/>
              <w:rPr>
                <w:sz w:val="24"/>
                <w:szCs w:val="24"/>
                <w:color w:val="auto"/>
              </w:rPr>
            </w:pPr>
          </w:p>
        </w:tc>
        <w:tc>
          <w:tcPr>
            <w:tcW w:w="47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Consent of Willkie Farr &amp; Gallagher LLP (included in Exhibit 5.1</w:t>
              </w:r>
            </w:hyperlink>
          </w:p>
        </w:tc>
        <w:tc>
          <w:tcPr>
            <w:tcW w:w="40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hereto)</w:t>
              </w:r>
            </w:hyperlink>
          </w:p>
        </w:tc>
        <w:tc>
          <w:tcPr>
            <w:tcW w:w="466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5"/>
              </w:rPr>
              <w:t>23.2</w:t>
            </w:r>
          </w:p>
        </w:tc>
        <w:tc>
          <w:tcPr>
            <w:tcW w:w="300" w:type="dxa"/>
            <w:vAlign w:val="bottom"/>
          </w:tcPr>
          <w:p>
            <w:pPr>
              <w:spacing w:after="0"/>
              <w:rPr>
                <w:sz w:val="24"/>
                <w:szCs w:val="24"/>
                <w:color w:val="auto"/>
              </w:rPr>
            </w:pPr>
          </w:p>
        </w:tc>
        <w:tc>
          <w:tcPr>
            <w:tcW w:w="5180" w:type="dxa"/>
            <w:vAlign w:val="bottom"/>
            <w:gridSpan w:val="11"/>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Consent of Ernst &amp; Young LLP., independent registered public</w:t>
              </w:r>
            </w:hyperlink>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accounting firm</w:t>
              </w:r>
            </w:hyperlink>
          </w:p>
        </w:tc>
        <w:tc>
          <w:tcPr>
            <w:tcW w:w="3360" w:type="dxa"/>
            <w:vAlign w:val="bottom"/>
            <w:tcBorders>
              <w:top w:val="single" w:sz="8" w:color="0000EE"/>
            </w:tcBorders>
            <w:gridSpan w:val="5"/>
          </w:tcPr>
          <w:p>
            <w:pPr>
              <w:spacing w:after="0"/>
              <w:rPr>
                <w:sz w:val="17"/>
                <w:szCs w:val="17"/>
                <w:color w:val="auto"/>
              </w:rPr>
            </w:pPr>
          </w:p>
        </w:tc>
        <w:tc>
          <w:tcPr>
            <w:tcW w:w="66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5"/>
              </w:rPr>
              <w:t>24.1</w:t>
            </w:r>
          </w:p>
        </w:tc>
        <w:tc>
          <w:tcPr>
            <w:tcW w:w="300" w:type="dxa"/>
            <w:vAlign w:val="bottom"/>
          </w:tcPr>
          <w:p>
            <w:pPr>
              <w:spacing w:after="0"/>
              <w:rPr>
                <w:sz w:val="24"/>
                <w:szCs w:val="24"/>
                <w:color w:val="auto"/>
              </w:rPr>
            </w:pPr>
          </w:p>
        </w:tc>
        <w:tc>
          <w:tcPr>
            <w:tcW w:w="5180" w:type="dxa"/>
            <w:vAlign w:val="bottom"/>
            <w:gridSpan w:val="1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Power of Attorney (included on the signature page of this</w:t>
              </w:r>
            </w:hyperlink>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Registration Statement)</w:t>
              </w:r>
            </w:hyperlink>
          </w:p>
        </w:tc>
        <w:tc>
          <w:tcPr>
            <w:tcW w:w="2420" w:type="dxa"/>
            <w:vAlign w:val="bottom"/>
            <w:tcBorders>
              <w:top w:val="single" w:sz="8" w:color="0000EE"/>
            </w:tcBorders>
          </w:tcPr>
          <w:p>
            <w:pPr>
              <w:spacing w:after="0"/>
              <w:rPr>
                <w:sz w:val="17"/>
                <w:szCs w:val="17"/>
                <w:color w:val="auto"/>
              </w:rPr>
            </w:pPr>
          </w:p>
        </w:tc>
        <w:tc>
          <w:tcPr>
            <w:tcW w:w="104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5"/>
              </w:rPr>
              <w:t>99.1</w:t>
            </w:r>
          </w:p>
        </w:tc>
        <w:tc>
          <w:tcPr>
            <w:tcW w:w="300" w:type="dxa"/>
            <w:vAlign w:val="bottom"/>
          </w:tcPr>
          <w:p>
            <w:pPr>
              <w:spacing w:after="0"/>
              <w:rPr>
                <w:sz w:val="24"/>
                <w:szCs w:val="24"/>
                <w:color w:val="auto"/>
              </w:rPr>
            </w:pPr>
          </w:p>
        </w:tc>
        <w:tc>
          <w:tcPr>
            <w:tcW w:w="5180" w:type="dxa"/>
            <w:vAlign w:val="bottom"/>
            <w:gridSpan w:val="11"/>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Take-Two Interactive Software, Inc. 2017</w:t>
              </w:r>
            </w:hyperlink>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660" w:type="dxa"/>
            <w:vAlign w:val="bottom"/>
          </w:tcPr>
          <w:p>
            <w:pPr>
              <w:spacing w:after="0"/>
              <w:rPr>
                <w:sz w:val="24"/>
                <w:szCs w:val="24"/>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July 24, 2020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Stock Incentive Plan</w:t>
              </w:r>
            </w:hyperlink>
          </w:p>
        </w:tc>
        <w:tc>
          <w:tcPr>
            <w:tcW w:w="3220" w:type="dxa"/>
            <w:vAlign w:val="bottom"/>
            <w:tcBorders>
              <w:top w:val="single" w:sz="8" w:color="0000EE"/>
            </w:tcBorders>
            <w:gridSpan w:val="5"/>
          </w:tcPr>
          <w:p>
            <w:pPr>
              <w:spacing w:after="0"/>
              <w:rPr>
                <w:sz w:val="17"/>
                <w:szCs w:val="17"/>
                <w:color w:val="auto"/>
              </w:rPr>
            </w:pPr>
          </w:p>
        </w:tc>
        <w:tc>
          <w:tcPr>
            <w:tcW w:w="460" w:type="dxa"/>
            <w:vAlign w:val="bottom"/>
            <w:gridSpan w:val="3"/>
          </w:tcPr>
          <w:p>
            <w:pPr>
              <w:spacing w:after="0"/>
              <w:rPr>
                <w:sz w:val="17"/>
                <w:szCs w:val="17"/>
                <w:color w:val="auto"/>
              </w:rPr>
            </w:pPr>
          </w:p>
        </w:tc>
        <w:tc>
          <w:tcPr>
            <w:tcW w:w="8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14A</w:t>
            </w: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5"/>
              </w:rPr>
              <w:t>99.2</w:t>
            </w:r>
          </w:p>
        </w:tc>
        <w:tc>
          <w:tcPr>
            <w:tcW w:w="300" w:type="dxa"/>
            <w:vAlign w:val="bottom"/>
          </w:tcPr>
          <w:p>
            <w:pPr>
              <w:spacing w:after="0"/>
              <w:rPr>
                <w:sz w:val="24"/>
                <w:szCs w:val="24"/>
                <w:color w:val="auto"/>
              </w:rPr>
            </w:pPr>
          </w:p>
        </w:tc>
        <w:tc>
          <w:tcPr>
            <w:tcW w:w="42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Amendment No. 1 to the Amended and Restated Take-Two</w:t>
              </w:r>
            </w:hyperlink>
          </w:p>
        </w:tc>
        <w:tc>
          <w:tcPr>
            <w:tcW w:w="90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gridSpan w:val="11"/>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Interactive Software, Inc. 2017 Stock Incentive Plan</w:t>
              </w:r>
            </w:hyperlink>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the requirements for filing on Form S-8 and has duly caused this Registration Statement to be signed on its behalf by the undersigned, thereunto duly authorized, in the City of New York, State of New York, on the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2020.</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Karl Slatoff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Karl Slatoff</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the undersigned officers and directors of Take-Two Interactive Software, Inc., hereby severally constitute and appoint Karl Slatoff, Daniel Emerson, and Matthew Breitman or any of them individually, our true and lawful attorneys-in-fact with full power of substitution, to sign for us and in our names in the capacities indicated below the Registration Statement and any and all pre-effective and post-effective amendments to the Registration Statement and generally to do all such things in our name and behalf in our capacities as officers and directors to enable the Registrant to comply with the provisions of the Securities Act, and all requirements of the Commission, hereby ratifying and confirming our signatures as they may be signed by our said attorneys-in-fact to said Registration Statement and any and all amendments thereto.</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4"/>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Strauss Zelnick</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Strauss Zelnick</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Lainie Goldstein</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Lainie Goldstein</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Dornemann</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Michael Dornemann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Roland Hernandez</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Roland Hernandez</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Moses</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 Moses</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Sheresky</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Michael Sheresky</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LaVerne Srinivasan</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LaVerne Srinivasan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Tolson</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Susan Tolson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Viera</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Paul Viera</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WILLKIE FARR &amp; GALLAGHER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York, NY 10019-6099</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34" w:lineRule="exact"/>
        <w:rPr>
          <w:sz w:val="20"/>
          <w:szCs w:val="20"/>
          <w:color w:val="auto"/>
        </w:rPr>
      </w:pPr>
    </w:p>
    <w:p>
      <w:pPr>
        <w:jc w:val="both"/>
        <w:spacing w:after="0"/>
        <w:tabs>
          <w:tab w:leader="none" w:pos="5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Take-Two Interactive Software, Inc.</w:t>
      </w:r>
    </w:p>
    <w:p>
      <w:pPr>
        <w:spacing w:after="0" w:line="27" w:lineRule="exact"/>
        <w:rPr>
          <w:sz w:val="20"/>
          <w:szCs w:val="20"/>
          <w:color w:val="auto"/>
        </w:rPr>
      </w:pPr>
    </w:p>
    <w:p>
      <w:pPr>
        <w:jc w:val="right"/>
        <w:ind w:right="784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acted as counsel to Take-Two Interactive Software, Inc., a Delaware corporation (the “Company”), with respect to the Company’s Registration Statement on Form S-8 (the “Registration Statement”) to be filed by the Company with the Securities and Exchange Commission on or about the date hereof. The Registration Statement relates to the registration under the Securities Act of 1933, as amended (the “Act”), by the Company of an additional 50,743 shares of Common Stock, par value $0.01 per share (the “Common Stock”), which may be issued under the Company’s Amended and Restated 2017 Stock Incentive Plan (the “Plan”).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examined, among other things, originals and/or copies (certified or otherwise identified to our satisfaction) of such documents, papers, statutes, and authorities as we have deemed necessary to form a basis for the opinion hereinafter expressed. In our examination, we have assumed the genuineness of all signatures and the conformity to original documents of all copies submitted to us. As to various questions of fact material to our opinion, we have relied on statements and certificates of officers and representatives of the Company.</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when the Registration Statement becomes effective under the Act, the Common Stock to be issued by the Company under the Plan, when duly issued and delivered pursuant to the terms of the Plan, will be legally issued, fully paid, and non-assessable.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This opinion is limited to the General Corporation Law of the State of Delaware, and we express no opinion with respect to the laws of any other jurisdiction or any other laws of the State of Delaware.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Willkie Farr &amp; Gallagher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Take-Two Interactive Software, Inc. 2017 Stock Incentive Plan of our reports dated May 22, 2020, with respect to the consolidated financial statements of Take-Two Interactive Software, Inc. and the effectiveness of internal control over financial reporting of Take-Two Interactive Software, Inc. included in its Annual Report (Form 10-K) for the year ended March 31, 2020, filed with the Securities and Exchange Commission.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207"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Amended and Restated Take-Two Interactive Software, Inc. 2017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made effective as of this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2020.</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Take-Two Interactive Software,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maintains the Plan;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18(a) of the Plan, the Plan may be amended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at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the terms of that certain Agreement and Plan of Merger, dated as of August 17, 2020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among the Company; Dash MS, LLC, a Delaware limited liability company and a wholly-owned subsidiary of the Company; Dash MS II, LLC, a Delaware limited liability company and wholly-owned subsidiary of the Company; Playdots, Inc., a Delaware corporation (“</w:t>
      </w:r>
      <w:r>
        <w:rPr>
          <w:rFonts w:ascii="Times New Roman" w:cs="Times New Roman" w:eastAsia="Times New Roman" w:hAnsi="Times New Roman"/>
          <w:sz w:val="18"/>
          <w:szCs w:val="18"/>
          <w:u w:val="single" w:color="auto"/>
          <w:color w:val="auto"/>
        </w:rPr>
        <w:t>Playdots</w:t>
      </w:r>
      <w:r>
        <w:rPr>
          <w:rFonts w:ascii="Times New Roman" w:cs="Times New Roman" w:eastAsia="Times New Roman" w:hAnsi="Times New Roman"/>
          <w:sz w:val="18"/>
          <w:szCs w:val="18"/>
          <w:color w:val="auto"/>
        </w:rPr>
        <w:t>”); and Shareholder Representative Services LLC, a Colorado limited liability company, solely in its capacity as the representative, agent and attorney-in-fact of the Company Equityholders (as defined in the Merger Agreement), the Company acquired Playdots through a series of mergers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and subject to the terms and conditions of, an exception under Rule 5635(c)(3) and IM-5635-1 of the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Rules and Regulations (“</w:t>
      </w:r>
      <w:r>
        <w:rPr>
          <w:rFonts w:ascii="Times New Roman" w:cs="Times New Roman" w:eastAsia="Times New Roman" w:hAnsi="Times New Roman"/>
          <w:sz w:val="18"/>
          <w:szCs w:val="18"/>
          <w:u w:val="single" w:color="auto"/>
          <w:color w:val="auto"/>
        </w:rPr>
        <w:t>Rule 5635(c)(3)</w:t>
      </w:r>
      <w:r>
        <w:rPr>
          <w:rFonts w:ascii="Times New Roman" w:cs="Times New Roman" w:eastAsia="Times New Roman" w:hAnsi="Times New Roman"/>
          <w:sz w:val="18"/>
          <w:szCs w:val="18"/>
          <w:color w:val="auto"/>
        </w:rPr>
        <w:t>”), the remaining number of shares of common stock, par value $0.0001 per share, of Playdots that were available for issuance as of immediately prior to the Transaction under the Playdots, Inc. 2013 Stock Plan, as amended (the “</w:t>
      </w:r>
      <w:r>
        <w:rPr>
          <w:rFonts w:ascii="Times New Roman" w:cs="Times New Roman" w:eastAsia="Times New Roman" w:hAnsi="Times New Roman"/>
          <w:sz w:val="18"/>
          <w:szCs w:val="18"/>
          <w:u w:val="single" w:color="auto"/>
          <w:color w:val="auto"/>
        </w:rPr>
        <w:t>Playdots Plan</w:t>
      </w:r>
      <w:r>
        <w:rPr>
          <w:rFonts w:ascii="Times New Roman" w:cs="Times New Roman" w:eastAsia="Times New Roman" w:hAnsi="Times New Roman"/>
          <w:sz w:val="18"/>
          <w:szCs w:val="18"/>
          <w:color w:val="auto"/>
        </w:rPr>
        <w:t>”), a pre-existing shareholder approved plan of Playdots, shall be available for use (after appropriate adjustment of the number of shares to reflect the Transaction) by the Company from and after the Closing (as defined in the Merger Agreement) for Awards (as defined in the Plan) made under the Plan, provided that (i) the period during which such shares are available for Awards will not be extended beyond the period during which they would have been available under the Playdots Plan, absent the Transaction and (ii) such Awards may not be granted to individuals who were employed by the Company or its subsidiaries at the time the Transaction was consummated;</w:t>
      </w:r>
    </w:p>
    <w:p>
      <w:pPr>
        <w:spacing w:after="0" w:line="185" w:lineRule="exact"/>
        <w:rPr>
          <w:sz w:val="20"/>
          <w:szCs w:val="20"/>
          <w:color w:val="auto"/>
        </w:rPr>
      </w:pPr>
    </w:p>
    <w:p>
      <w:pPr>
        <w:ind w:right="4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and subject to the terms and conditions of Rule 5635(c)(3) and the terms of the Merger Agreement,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stock options granted under the Playdots Plan shall be assumed by the Company as Substitute Awards (as defined under the Plan) and be governed by the terms and conditions of the Plan (after appropriate adjustment of the number of shares to reflect the Transaction) effective as of the Closing (the “</w:t>
      </w:r>
      <w:r>
        <w:rPr>
          <w:rFonts w:ascii="Times New Roman" w:cs="Times New Roman" w:eastAsia="Times New Roman" w:hAnsi="Times New Roman"/>
          <w:sz w:val="18"/>
          <w:szCs w:val="18"/>
          <w:u w:val="single" w:color="auto"/>
          <w:color w:val="auto"/>
        </w:rPr>
        <w:t>Assumed Options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signing of the Merger Agreement, the Board authorized the adoption of an amendment to the Plan increasing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of Stock (as defined in the Plan) available for Awards by the remaining number of shares of common stock under the Playdots Plan as of immediately prior to the Transaction and approving the assumption of the Assumed Options as Substitute Awards under the Plan; and</w:t>
      </w:r>
    </w:p>
    <w:p>
      <w:pPr>
        <w:sectPr>
          <w:pgSz w:w="11900" w:h="16838" w:orient="portrait"/>
          <w:cols w:equalWidth="0" w:num="1">
            <w:col w:w="11020"/>
          </w:cols>
          <w:pgMar w:left="440" w:top="117" w:right="439" w:bottom="1440" w:gutter="0" w:footer="0" w:header="0"/>
        </w:sectPr>
      </w:pPr>
    </w:p>
    <w:bookmarkStart w:id="9" w:name="page10"/>
    <w:bookmarkEnd w:id="9"/>
    <w:p>
      <w:pPr>
        <w:ind w:right="2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w:t>
      </w:r>
      <w:r>
        <w:rPr>
          <w:rFonts w:ascii="Times New Roman" w:cs="Times New Roman" w:eastAsia="Times New Roman" w:hAnsi="Times New Roman"/>
          <w:sz w:val="18"/>
          <w:szCs w:val="18"/>
          <w:color w:val="auto"/>
        </w:rPr>
        <w:t>, the Company now desires to amend the Plan to increase the maximum number of shares of Stock available for Awards by 50,743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Stock, representing the number of shares of Playdots’ common stock (x) underlying the Assumed Options, as adjusted to reflect the Transaction, and (y) that were available for grant under the Playdots Plan as of immediately prior to the Transaction, as adjusted to reflect the Transaction; provided, that (i) the period during which such shares are available for Awards will not be extended beyond the period during which the shares would have been available under the Playdots Plan, absent the Transaction, and (ii) such Awards may not be granted to individuals who were employed by the Company or its subsidiaries at the time the Transaction was consummated.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subject to the occurrence of the Closing, the Plan is hereby amended as follows:</w:t>
      </w:r>
    </w:p>
    <w:p>
      <w:pPr>
        <w:spacing w:after="0" w:line="121" w:lineRule="exact"/>
        <w:rPr>
          <w:sz w:val="20"/>
          <w:szCs w:val="20"/>
          <w:color w:val="auto"/>
        </w:rPr>
      </w:pPr>
    </w:p>
    <w:p>
      <w:pPr>
        <w:ind w:left="760" w:hanging="32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Plan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00" w:hanging="435"/>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4(a) of the Plan is hereby amended to add the following to the end thereof:</w:t>
      </w:r>
    </w:p>
    <w:p>
      <w:pPr>
        <w:spacing w:after="0" w:line="117" w:lineRule="exact"/>
        <w:rPr>
          <w:sz w:val="20"/>
          <w:szCs w:val="20"/>
          <w:color w:val="auto"/>
        </w:rPr>
      </w:pPr>
    </w:p>
    <w:p>
      <w:pPr>
        <w:ind w:left="1420" w:right="200"/>
        <w:spacing w:after="0" w:line="256" w:lineRule="auto"/>
        <w:rPr>
          <w:sz w:val="20"/>
          <w:szCs w:val="20"/>
          <w:color w:val="auto"/>
        </w:rPr>
      </w:pPr>
      <w:r>
        <w:rPr>
          <w:rFonts w:ascii="Times New Roman" w:cs="Times New Roman" w:eastAsia="Times New Roman" w:hAnsi="Times New Roman"/>
          <w:sz w:val="18"/>
          <w:szCs w:val="18"/>
          <w:color w:val="auto"/>
        </w:rPr>
        <w:t>“In addition, and subject to Section 11 hereof, during the period between September 4, 2020 through December 7, 2027, an additional 50,743 shares of Stock (the ‘</w:t>
      </w:r>
      <w:r>
        <w:rPr>
          <w:rFonts w:ascii="Times New Roman" w:cs="Times New Roman" w:eastAsia="Times New Roman" w:hAnsi="Times New Roman"/>
          <w:sz w:val="18"/>
          <w:szCs w:val="18"/>
          <w:b w:val="1"/>
          <w:bCs w:val="1"/>
          <w:i w:val="1"/>
          <w:iCs w:val="1"/>
          <w:color w:val="auto"/>
        </w:rPr>
        <w:t>Playdots Share Reserve</w:t>
      </w:r>
      <w:r>
        <w:rPr>
          <w:rFonts w:ascii="Times New Roman" w:cs="Times New Roman" w:eastAsia="Times New Roman" w:hAnsi="Times New Roman"/>
          <w:sz w:val="18"/>
          <w:szCs w:val="18"/>
          <w:color w:val="auto"/>
        </w:rPr>
        <w:t>’) may be issued pursuant to Awards to Eligible Persons other than any such Eligible Person who was employed or retained by the Company or its Affiliates (other than Playdots, Inc. and its subsidiaries as of September 4, 2020) on September 4, 2020 (the ‘</w:t>
      </w:r>
      <w:r>
        <w:rPr>
          <w:rFonts w:ascii="Times New Roman" w:cs="Times New Roman" w:eastAsia="Times New Roman" w:hAnsi="Times New Roman"/>
          <w:sz w:val="18"/>
          <w:szCs w:val="18"/>
          <w:b w:val="1"/>
          <w:bCs w:val="1"/>
          <w:i w:val="1"/>
          <w:iCs w:val="1"/>
          <w:color w:val="auto"/>
        </w:rPr>
        <w:t>Playdots Awards</w:t>
      </w:r>
      <w:r>
        <w:rPr>
          <w:rFonts w:ascii="Times New Roman" w:cs="Times New Roman" w:eastAsia="Times New Roman" w:hAnsi="Times New Roman"/>
          <w:sz w:val="18"/>
          <w:szCs w:val="18"/>
          <w:color w:val="auto"/>
        </w:rPr>
        <w:t>’), which includes 32,141 shares of Stock currently outstanding pursuant to the grant of Options that were assumed by the Company on September 4, 2020 as Substitute Awards.”</w:t>
      </w:r>
    </w:p>
    <w:p>
      <w:pPr>
        <w:spacing w:after="0" w:line="93" w:lineRule="exact"/>
        <w:rPr>
          <w:sz w:val="20"/>
          <w:szCs w:val="20"/>
          <w:color w:val="auto"/>
        </w:rPr>
      </w:pPr>
    </w:p>
    <w:p>
      <w:pPr>
        <w:ind w:left="1200" w:hanging="435"/>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hereby added as the third sentence of Section 4(b) of the Plan:</w:t>
      </w:r>
    </w:p>
    <w:p>
      <w:pPr>
        <w:spacing w:after="0" w:line="117" w:lineRule="exact"/>
        <w:rPr>
          <w:sz w:val="20"/>
          <w:szCs w:val="20"/>
          <w:color w:val="auto"/>
        </w:rPr>
      </w:pPr>
    </w:p>
    <w:p>
      <w:pPr>
        <w:ind w:left="1420" w:right="40"/>
        <w:spacing w:after="0" w:line="266" w:lineRule="auto"/>
        <w:rPr>
          <w:sz w:val="20"/>
          <w:szCs w:val="20"/>
          <w:color w:val="auto"/>
        </w:rPr>
      </w:pPr>
      <w:r>
        <w:rPr>
          <w:rFonts w:ascii="Times New Roman" w:cs="Times New Roman" w:eastAsia="Times New Roman" w:hAnsi="Times New Roman"/>
          <w:sz w:val="18"/>
          <w:szCs w:val="18"/>
          <w:color w:val="auto"/>
        </w:rPr>
        <w:t>“To the extent that a Playdots Award expires or is canceled, forfeited, settled in cash, or otherwise terminated without delivery to the Participant of the full number of shares of Stock to which the Playdots Award related, the undelivered shares of Stock will again be available for grant pursuant to the Playdots Share Reserve.”</w:t>
      </w:r>
    </w:p>
    <w:p>
      <w:pPr>
        <w:spacing w:after="0" w:line="68" w:lineRule="exact"/>
        <w:rPr>
          <w:sz w:val="20"/>
          <w:szCs w:val="20"/>
          <w:color w:val="auto"/>
        </w:rPr>
      </w:pPr>
    </w:p>
    <w:p>
      <w:pPr>
        <w:ind w:left="440" w:right="200" w:hanging="4"/>
        <w:spacing w:after="0" w:line="261" w:lineRule="auto"/>
        <w:tabs>
          <w:tab w:leader="none" w:pos="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and Confirmation</w:t>
      </w:r>
      <w:r>
        <w:rPr>
          <w:rFonts w:ascii="Times New Roman" w:cs="Times New Roman" w:eastAsia="Times New Roman" w:hAnsi="Times New Roman"/>
          <w:sz w:val="18"/>
          <w:szCs w:val="18"/>
          <w:color w:val="auto"/>
        </w:rPr>
        <w:t>. Except as specifically modified by this Amendment, the Plan is hereby ratified and confirmed in all respects and remains valid and in full force and effect. Whenever the Plan is referred to in this Amendment or in any other agreement, document or instrument, such reference shall be deemed to be to the Plan, as amended by this Amendment, whether or not specific reference is made to this Amendment.</w:t>
      </w:r>
    </w:p>
    <w:p>
      <w:pPr>
        <w:spacing w:after="0" w:line="71" w:lineRule="exact"/>
        <w:rPr>
          <w:rFonts w:ascii="Times New Roman" w:cs="Times New Roman" w:eastAsia="Times New Roman" w:hAnsi="Times New Roman"/>
          <w:sz w:val="18"/>
          <w:szCs w:val="18"/>
          <w:color w:val="auto"/>
        </w:rPr>
      </w:pPr>
    </w:p>
    <w:p>
      <w:pPr>
        <w:ind w:left="440" w:hanging="4"/>
        <w:spacing w:after="0" w:line="282" w:lineRule="auto"/>
        <w:tabs>
          <w:tab w:leader="none" w:pos="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Delaware, without reference to the principles of conflicts of laws thereof.</w:t>
      </w:r>
    </w:p>
    <w:p>
      <w:pPr>
        <w:spacing w:after="0" w:line="53"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are for convenience only and shall not be considered a part of this Amendment.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0" w:name="page11"/>
    <w:bookmarkEnd w:id="10"/>
    <w:p>
      <w:pPr>
        <w:ind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a duly authorized officer of the Company, has executed this instrument as of the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2020 on behalf of the Board.</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Breitman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Breitman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General Counsel Americas &amp;</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18" Type="http://schemas.openxmlformats.org/officeDocument/2006/relationships/hyperlink" Target="http://www.sec.gov/ix?doc=/Archives/edgar/data/946581/000162828020008291/ttwo-20200331.htm" TargetMode="External"/><Relationship Id="rId19" Type="http://schemas.openxmlformats.org/officeDocument/2006/relationships/hyperlink" Target="http://www.sec.gov/ix?doc=/Archives/edgar/data/946581/000162828020011493/ttwo-20200630.htm" TargetMode="External"/><Relationship Id="rId20" Type="http://schemas.openxmlformats.org/officeDocument/2006/relationships/hyperlink" Target="http://www.sec.gov/ix?doc=/Archives/edgar/data/946581/000110465920084100/tm2024847-1_8k.htm" TargetMode="External"/><Relationship Id="rId21" Type="http://schemas.openxmlformats.org/officeDocument/2006/relationships/hyperlink" Target="http://www.sec.gov/ix?doc=/Archives/edgar/data/946581/000119312520223616/d82273d8k.htm" TargetMode="External"/><Relationship Id="rId22" Type="http://schemas.openxmlformats.org/officeDocument/2006/relationships/hyperlink" Target="http://www.sec.gov/Archives/edgar/data/946581/000110465908019702/a08-9031_28a12b.htm" TargetMode="External"/><Relationship Id="rId23" Type="http://schemas.openxmlformats.org/officeDocument/2006/relationships/hyperlink" Target="http://www.sec.gov/Archives/edgar/data/946581/000162828020008291/ex-4103312020.htm" TargetMode="External"/><Relationship Id="rId25" Type="http://schemas.openxmlformats.org/officeDocument/2006/relationships/hyperlink" Target="http://www.sec.gov/Archives/edgar/data/946581/000119312520198591/d940734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2020-09-04T15:51:56Z</dcterms:created>
  <dcterms:modified xsi:type="dcterms:W3CDTF">2020-09-04T15:51:56Z</dcterms:modified>
</cp:coreProperties>
</file>