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6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20" w:type="dxa"/>
            <w:vAlign w:val="bottom"/>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Slatoff Karl</w:t>
              </w:r>
            </w:hyperlink>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TAKE TWO INTERACTIVE</w:t>
              </w:r>
            </w:hyperlink>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SOFTWARE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TTWO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5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2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(First)</w:t>
            </w:r>
          </w:p>
        </w:tc>
        <w:tc>
          <w:tcPr>
            <w:tcW w:w="1460" w:type="dxa"/>
            <w:vAlign w:val="bottom"/>
            <w:tcBorders>
              <w:top w:val="single" w:sz="8" w:color="EEEEEE"/>
            </w:tcBorders>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TAKE-TWO INTERACTIVE SOFTWARE,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06/01/2022</w:t>
            </w: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0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110 WEST 44TH STREET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686" w:gutter="0" w:footer="0" w:header="0"/>
          <w:type w:val="continuous"/>
        </w:sectPr>
      </w:pP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5" w:lineRule="exact"/>
        <w:rPr>
          <w:rFonts w:ascii="Times New Roman" w:cs="Times New Roman" w:eastAsia="Times New Roman" w:hAnsi="Times New Roman"/>
          <w:sz w:val="17"/>
          <w:szCs w:val="17"/>
          <w:color w:val="0000FF"/>
        </w:rPr>
      </w:pPr>
    </w:p>
    <w:p>
      <w:pPr>
        <w:ind w:left="327" w:right="500"/>
        <w:spacing w:after="0" w:line="27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7213" w:space="720"/>
            <w:col w:w="3147"/>
          </w:cols>
          <w:pgMar w:left="460" w:top="219" w:right="359" w:bottom="6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6"/>
              </w:rPr>
              <w:t>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ZMC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w w:val="98"/>
              </w:rPr>
              <w:t>06/01/2022</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spacing w:after="0"/>
              <w:rPr>
                <w:sz w:val="18"/>
                <w:szCs w:val="18"/>
                <w:color w:val="auto"/>
              </w:rPr>
            </w:pPr>
          </w:p>
        </w:tc>
        <w:tc>
          <w:tcPr>
            <w:tcW w:w="900" w:type="dxa"/>
            <w:vAlign w:val="bottom"/>
          </w:tcPr>
          <w:p>
            <w:pPr>
              <w:ind w:left="80"/>
              <w:spacing w:after="0" w:line="213" w:lineRule="exact"/>
              <w:rPr>
                <w:sz w:val="20"/>
                <w:szCs w:val="20"/>
                <w:color w:val="auto"/>
              </w:rPr>
            </w:pPr>
            <w:r>
              <w:rPr>
                <w:rFonts w:ascii="Times New Roman" w:cs="Times New Roman" w:eastAsia="Times New Roman" w:hAnsi="Times New Roman"/>
                <w:sz w:val="17"/>
                <w:szCs w:val="17"/>
                <w:color w:val="0000FF"/>
              </w:rPr>
              <w:t>675,684</w:t>
            </w:r>
            <w:r>
              <w:rPr>
                <w:rFonts w:ascii="Times New Roman" w:cs="Times New Roman" w:eastAsia="Times New Roman" w:hAnsi="Times New Roman"/>
                <w:sz w:val="22"/>
                <w:szCs w:val="22"/>
                <w:color w:val="008000"/>
                <w:vertAlign w:val="superscript"/>
              </w:rPr>
              <w:t>(1)</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54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675,684</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2"/>
              </w:rPr>
              <w:t>L.P.</w:t>
            </w:r>
            <w:r>
              <w:rPr>
                <w:rFonts w:ascii="Times New Roman" w:cs="Times New Roman" w:eastAsia="Times New Roman" w:hAnsi="Times New Roman"/>
                <w:sz w:val="22"/>
                <w:szCs w:val="22"/>
                <w:color w:val="008000"/>
                <w:w w:val="92"/>
                <w:vertAlign w:val="superscript"/>
              </w:rPr>
              <w:t>(2)</w:t>
            </w: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gridSpan w:val="3"/>
          </w:tcPr>
          <w:p>
            <w:pPr>
              <w:jc w:val="center"/>
              <w:ind w:right="540"/>
              <w:spacing w:after="0" w:line="213" w:lineRule="exact"/>
              <w:rPr>
                <w:sz w:val="20"/>
                <w:szCs w:val="20"/>
                <w:color w:val="auto"/>
              </w:rPr>
            </w:pPr>
            <w:r>
              <w:rPr>
                <w:rFonts w:ascii="Times New Roman" w:cs="Times New Roman" w:eastAsia="Times New Roman" w:hAnsi="Times New Roman"/>
                <w:sz w:val="17"/>
                <w:szCs w:val="17"/>
                <w:color w:val="0000FF"/>
              </w:rPr>
              <w:t>372,014</w:t>
            </w:r>
            <w:r>
              <w:rPr>
                <w:rFonts w:ascii="Times New Roman" w:cs="Times New Roman" w:eastAsia="Times New Roman" w:hAnsi="Times New Roman"/>
                <w:sz w:val="22"/>
                <w:szCs w:val="22"/>
                <w:color w:val="008000"/>
                <w:vertAlign w:val="superscript"/>
              </w:rPr>
              <w:t>(3)</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6"/>
              </w:rPr>
              <w:t>Media</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0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previously disclosed Management Agreement (as defined and described in Footnote (2) below), represents the grant of (a) 188,665 restricted units to ZMC Advisors, L.P. ("ZMC Advisors") pursuant to a Restricted Unit Agreement entered into by ZMC Advisors and the Company on June 1, 2022 (the "Transition Period Grant Agreement (2 Year Cliff Vest)"), (b) 206,517 restricted units to ZMC Advisors pursuant to a Restricted Unit Agreement entered into by ZMC Advisors and the Company on June 1, 2022 (the "Transition Period Grant Agreement (3 Year Cliff Vest)"), and (c)</w:t>
      </w:r>
    </w:p>
    <w:p>
      <w:pPr>
        <w:spacing w:after="0" w:line="1" w:lineRule="exact"/>
        <w:rPr>
          <w:rFonts w:ascii="Times New Roman" w:cs="Times New Roman" w:eastAsia="Times New Roman" w:hAnsi="Times New Roman"/>
          <w:sz w:val="13"/>
          <w:szCs w:val="13"/>
          <w:color w:val="008000"/>
        </w:rPr>
      </w:pPr>
    </w:p>
    <w:p>
      <w:pPr>
        <w:ind w:left="40" w:right="16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280,502 restricted units to ZMC Advisors pursuant to a Restricted Unit Agreement entered into by ZMC Advisors and the Company on June 1, 2022 (the "New Grant Agreement" and together with the Transition Period Grant Agreement (2 Year Cliff Vest) and the Transition Period Grant Agreement (3 Year Cliff Vest), the "Restricted Unit Agreements"). The Transition Period Grant Agreement (2 Year Cliff Vest) includes (i) 37,733 time-based restricted units that are scheduled to vest on June 1, 2024 and (ii) 150,932 performance-based restricted units that are scheduled to vest on June 1, 2024. The Transition Period Grant Agreement (3 Year Cliff Vest) includes (i) 41,303 time-based restricted units that are scheduled to vest on June 1, 2025 and (ii) 165,214 performance-based restricted units that are scheduled to vest on June 1, 2025. The New Grant Agreement includes (i) 56,100 time-based restricted units that are scheduled to vest in equal installments on June 1, 2023, June 1, 2024 and June 1, 2025 and (ii) 224,402 performance-based restricted units that are scheduled to vest on June 1, 2025. Further information regarding the Restricted Unit Agreements and the restricted units, including the vesting schedule, is available in the Company's Current Report on Form 8-K filed with the Commission on May 5, 2022. The 675,684 restricted units reported herein are held directly by ZMC Advisors, L.P., of which Mr. Slatoff is a partner (such securities are not held individually by Mr. Slatoff). Mr. Slatoff disclaims beneficial ownership of the securities held by ZMC Advisors, L.P. except to the extent of his pecuniary interest therein.</w:t>
      </w:r>
    </w:p>
    <w:p>
      <w:pPr>
        <w:spacing w:after="0" w:line="162" w:lineRule="exact"/>
        <w:rPr>
          <w:rFonts w:ascii="Times New Roman" w:cs="Times New Roman" w:eastAsia="Times New Roman" w:hAnsi="Times New Roman"/>
          <w:sz w:val="13"/>
          <w:szCs w:val="13"/>
          <w:color w:val="008000"/>
        </w:rPr>
      </w:pPr>
    </w:p>
    <w:p>
      <w:pPr>
        <w:ind w:left="40" w:right="3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3, 2022, the Company entered into a Management Agreement (the "Management Agreement"), with ZelnickMedia Corporation ("ZelnickMedia"), which became effective on May 23, 2022, which was the closing date of the Company's acquisition of Zynga Inc. (the "Effective Date"). On May 21, 2022, ZelnickMedia assigned all of its rights and obligations and other liabilities under the Management Agreement (other than the 2022 Portion of Fiscal 2023 (as defined in the Management Agreement) and any portion of the Management Fee (as defined in the Management Agreement) in respect of periods on or prior to the Effective Date) from ZelnickMedia to ZMC Advisors pursuant to Section 16 of the Management Agreement. Such assignment included the right to receive the restricted units pursuant to the Restricted Unit Agreements described in Footnote (1) above.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372,014 restricted units held directly by ZelnickMedia Corporation, of which Mr. Slatoff is a partner (such securities are not held individually by Mr. Slatoff). Mr. Slatoff disclaims beneficial ownership of the securities held by ZelnickMedia Corporation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Karl Slatoff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06/03/2022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27810"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2022-06-03T16:46:50Z</dcterms:created>
  <dcterms:modified xsi:type="dcterms:W3CDTF">2022-06-03T16:46:50Z</dcterms:modified>
</cp:coreProperties>
</file>