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Emerson Daniel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TAKE-TWO INTERACTIVE SOFTWARE,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 WEST 44TH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TAKE TWO INTERACTIVE SOFTWARE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TTWO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896"/>
        <w:gridCol w:w="461"/>
        <w:gridCol w:w="634"/>
        <w:gridCol w:w="1206"/>
        <w:gridCol w:w="1007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8,840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214</w:t>
            </w:r>
            <w:r>
              <w:rPr/>
              <w:t xml:space="preserve"> </w:t>
            </w:r>
          </w:p>
        </w:tc>
        <w:tc>
          <w:tcPr>
            <w:tcW w:w="12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122,828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Sale of shares pursuant to Rule 10b5-1 trading plan adopted on March 3,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(i) 9,880 shares of Common Stock, (ii) 19,736 unvested time-based restricted stock units and (iii) 93,212 unvested performance-based restricted stock units. Such unvested awards will vest, or fail to vest, in accordance with the terms of the applicable award agreements.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Daniel Emerson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23654" TargetMode="External"/><Relationship Id="rId5" Type="http://schemas.openxmlformats.org/officeDocument/2006/relationships/hyperlink" Target="http://www.sec.gov/cgi-bin/browse-edgar?action=getcompany&amp;CIK=00009465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624</Words>
  <Characters>3386</Characters>
  <CharactersWithSpaces>3950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