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536-2842</w:t>
      </w:r>
    </w:p>
    <w:p>
      <w:pPr>
        <w:spacing w:after="0" w:line="1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TTWO</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to Agreement and Plan of Merger</w:t>
      </w:r>
    </w:p>
    <w:p>
      <w:pPr>
        <w:spacing w:after="0" w:line="11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On May 4, 2022, Take-Two Interactive Software, Inc., a Delaware corporation (the “Company” or “Take-Two”), entered into the Second Amendment (the “Second Amendment”) to the previously announced Agreement and Plan of Merger, dated January 9, 2022 (as amended, the “Merger Agreement”), with Zebra MS I, Inc., a Delaware corporation and a direct wholly-owned subsidiary of the Company (“Merger Sub 1”), Zebra MS II, Inc., a Delaware corporation and a direct wholly-owned subsidiary of the Company (“Merger Sub 2”), and Zynga Inc., a Delaware corporation (“Zynga”). The Second Amendment provides that the closing of the combination contemplated by the Merger Agreement (the “Combination”) will take place on a date agreed by the parties, which shall be not more than three business days after the satisfaction or waiver of the conditions to closing set forth in the Merger Agreement. The foregoing description of the Second Amendment does not purport to be complete and is qualified in its entirety by the full text of the Second Amendment, a copy of which is filed as Exhibit 2.1 hereto and is incorporated by reference herein.</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parties currently anticipate that the closing of the Combination will occur on May 23, 2022 (the second business day following the date of the respective special stockholder meetings of Take-Two and Zynga), subject to receipt of the requisite Take-Two and Zynga stockholder approvals at the special meetings currently scheduled for May 19, 2022 and the satisfaction of the other remaining closing conditions. Under the terms of the Merger Agreement, assuming a closing date of May 23, 2022, the “Parent Common Stock Price,” which is used to determine the “Exchange Ratio” under the Merger Agreement, will be measured based on the volume-weighted average sales price per share taken to four decimal places of Take-Two common stock on the NASDAQ over the consecutive trading period beginning at 9:30 a.m. New York time on April 20, 2022 (the twenty-third trading day immediately preceding the closing date) and concluding at 4:00 p.m. New York time on May 18, 2022 (the third trading day immediately preceding the closing date), as calculated by Bloomberg Financial LP under the function “VWAP” (or, if not available, in another authoritative source mutually selected by the parties). Further details relating to the Combination and the Merger Agreement may be found in the joint proxy statement/prospectus, dated April 7, 2022, filed by the Company with the Securities and Exchange Commission (the “SEC”) on April 7, 2022. The Company will disclose the final Exchange Ratio in connection with the closing of the Combination.</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ZelnickMedia Management Agreement</w:t>
      </w:r>
    </w:p>
    <w:p>
      <w:pPr>
        <w:spacing w:after="0" w:line="117" w:lineRule="exact"/>
        <w:rPr>
          <w:sz w:val="20"/>
          <w:szCs w:val="20"/>
          <w:color w:val="auto"/>
        </w:rPr>
      </w:pPr>
    </w:p>
    <w:p>
      <w:pPr>
        <w:ind w:left="4" w:right="620" w:firstLine="440"/>
        <w:spacing w:after="0" w:line="261" w:lineRule="auto"/>
        <w:rPr>
          <w:sz w:val="20"/>
          <w:szCs w:val="20"/>
          <w:color w:val="auto"/>
        </w:rPr>
      </w:pPr>
      <w:r>
        <w:rPr>
          <w:rFonts w:ascii="Times New Roman" w:cs="Times New Roman" w:eastAsia="Times New Roman" w:hAnsi="Times New Roman"/>
          <w:sz w:val="18"/>
          <w:szCs w:val="18"/>
          <w:color w:val="auto"/>
        </w:rPr>
        <w:t>On May 3, 2022, the Company entered into a Management Agreement, dated as of May 3, 2022 (the “Management Agreement”), with ZelnickMedia Corporation (“ZelnickMedia”). The Management Agreement will become effective as of, and contingent upon, the closing of the Combination (such date, the “Effective Date”). The compensation committee of the Board of Directors of the Company (the “Board”) and the independent members of the Board have each unanimously approved the Company’s entry into the Management Agreement.</w:t>
      </w:r>
    </w:p>
    <w:p>
      <w:pPr>
        <w:spacing w:after="0" w:line="180"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Management Agreement, ZelnickMedia will continue to provide financial and management consulting services to the Company pursuant to the existing Management Agreement, dated as of November 17, 2017, by and between ZelnickMedia and the Company (as amended, the “2017 Agreement”) until the Management Agreement becomes effective. Once effective, the Management Agreement will supersede and replace the 2017 Agreement, except as otherwise contemplated in the Management Agreement.</w:t>
      </w:r>
    </w:p>
    <w:p>
      <w:pPr>
        <w:spacing w:after="0" w:line="178"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 and Personnel. </w:t>
      </w:r>
      <w:r>
        <w:rPr>
          <w:rFonts w:ascii="Times New Roman" w:cs="Times New Roman" w:eastAsia="Times New Roman" w:hAnsi="Times New Roman"/>
          <w:sz w:val="18"/>
          <w:szCs w:val="18"/>
          <w:color w:val="auto"/>
        </w:rPr>
        <w:t>The Management Agreement provides for a term through March 31, 2029, unless earlier terminated in accordance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Under the Management Agreement, ZelnickMedia will continue to provide certain individuals as it deems appropriate for the performance of the Management Agreement, provided that ZelnickMedia has agreed to make available the following individuals to provide the described services:</w:t>
      </w:r>
    </w:p>
    <w:p>
      <w:pPr>
        <w:spacing w:after="0" w:line="1" w:lineRule="exact"/>
        <w:rPr>
          <w:sz w:val="20"/>
          <w:szCs w:val="20"/>
          <w:color w:val="auto"/>
        </w:rPr>
      </w:pPr>
    </w:p>
    <w:p>
      <w:pPr>
        <w:ind w:left="4" w:hanging="4"/>
        <w:spacing w:after="0" w:line="251"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Strauss Zelnick will continue to serve as Executive Chairman of the Board and Chief Executive Officer (“CEO”) of the Company, (ii) Karl Slatoff will continue to serve as the Company’s President, and (iii) other ZelnickMedia personnel as appropriate will provide services to the Company on a project-by-project, as needed basis. If Mr. Zelnick or any other employee of ZelnickMedia acting in an executive capacity for the Company pursuant to the Management Agreement is unable or unavailable to serve in such capacity (other than due to a termination by the Company without Cause or resignation by such person for Good Reason (as such terms are defined in such person’s employment or consulting agreement with the Company or, in the case of Mr. Zelnick, in the Management Agreement)), and ZelnickMedia is unable to provide a qualified individual within a reasonable period of time to serve in such capacity who is reasonably satisfactory to the Board, then the Company may fill such position with a person not affiliated with ZelnickMedia and deduct the costs of such person’s compensation from ZelnickMedia’s compensation under the Management Agreement (with such deduction limited to no more than 60% of the aggregate cash and equity compensation payable to ZelnickMedia if such person replaces Mr. Zelnick and no more than 40% of the aggregate cash and equity compensation payable to ZelnickMedia if such person replaces Mr. Slatoff).</w:t>
      </w:r>
    </w:p>
    <w:p>
      <w:pPr>
        <w:spacing w:after="0" w:line="1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93" w:right="499" w:bottom="1440" w:gutter="0" w:footer="0" w:header="0"/>
        </w:sectPr>
      </w:pPr>
    </w:p>
    <w:bookmarkStart w:id="2" w:name="page3"/>
    <w:bookmarkEnd w:id="2"/>
    <w:p>
      <w:pPr>
        <w:ind w:left="4"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Management Fee and Annual Bonus Opportunity</w:t>
      </w:r>
      <w:r>
        <w:rPr>
          <w:rFonts w:ascii="Times New Roman" w:cs="Times New Roman" w:eastAsia="Times New Roman" w:hAnsi="Times New Roman"/>
          <w:sz w:val="18"/>
          <w:szCs w:val="18"/>
          <w:color w:val="auto"/>
        </w:rPr>
        <w:t>. Commencing as of the Effective Date, the Company will pay ZelnickMedia a monthly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fee equal to $275,000 per month in each year during the term of the Management Agreement. The management fee will not be decreased during the term of the Management Agreement. In addition to the monthly management fee, ZelnickMedia will receive an annual bonus, subject to the achievement by the Company of certain performance thresholds, in respect of each of the seven fiscal years ending March 31, 2023, 2024, 2025, 2026, 2027, 2028 and 2029. For each fiscal year (other than for the period from April 1, 2022 through the date of the closing of the Zynga transaction, as described below), the annual bonus opportunity amount ranges from $0 (at 80% of the Target, as defined in the Management Agreement) to $13,200,000 (at 150% of the Target or greater), with a target bonus of $6,600,000. The annual bonus for the period from April 1, 2022 to and including the Effective Date will be determined in accordance with the terms and conditions of the 2017 Agreement (i.e., a pro-rated amount based on an annual bonus opportunity amount ranging from $0 at 80% of the “Target” specified in the 2017 Agreement, to $7,440,000 at 150% of the “Target” specified in the 2017 Agreement) based on performance during the fiscal year ending March 31, 2023. The annual bonus for the period from the Effective Date to March 31, 2023 will be a pro-rated amount determined in accordance with the terms and conditions of the Management Agreement as described above. If the Management Agreement is terminated by the Company without Cause (as defined in the Management Agreement) or by ZelnickMedia for Good Reason (as defined in the Management Agreement) (whether before or after a Change in Control (as defined in the Management Agreement)), ZelnickMedia is entitled to be paid on the date of termination an amount equal to the sum of (i) the earned but unpaid portion of the management fee,</w:t>
      </w:r>
    </w:p>
    <w:p>
      <w:pPr>
        <w:spacing w:after="0" w:line="2" w:lineRule="exact"/>
        <w:rPr>
          <w:sz w:val="20"/>
          <w:szCs w:val="20"/>
          <w:color w:val="auto"/>
        </w:rPr>
      </w:pPr>
    </w:p>
    <w:p>
      <w:pPr>
        <w:ind w:left="4" w:right="420" w:hanging="4"/>
        <w:spacing w:after="0" w:line="260"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annual bonus for a completed fiscal year and (iii) three times the sum of the per annum management fee plus the Target bonus amount.</w:t>
      </w:r>
    </w:p>
    <w:p>
      <w:pPr>
        <w:spacing w:after="0" w:line="17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Limits on Compensation</w:t>
      </w:r>
      <w:r>
        <w:rPr>
          <w:rFonts w:ascii="Times New Roman" w:cs="Times New Roman" w:eastAsia="Times New Roman" w:hAnsi="Times New Roman"/>
          <w:sz w:val="18"/>
          <w:szCs w:val="18"/>
          <w:color w:val="auto"/>
        </w:rPr>
        <w:t>. Under the Management Agreement, no more than 60% of the aggregate compensation payable to ZelnickMedia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Management Agreement (whether in the form of the management fee, the annual bonus or the restricted stock unit awards) shall be received by or conveyed to Mr. Zelnick (or such other employee of ZelnickMedia that serves as Executive Chairman and CEO of the Company) and no more than 40% of such aggregate compensation shall be received by or conveyed to Mr. Slatoff (or such other employee of ZelnickMedia that serves as the President of the Company).</w:t>
      </w:r>
    </w:p>
    <w:p>
      <w:pPr>
        <w:spacing w:after="0" w:line="183" w:lineRule="exact"/>
        <w:rPr>
          <w:sz w:val="20"/>
          <w:szCs w:val="20"/>
          <w:color w:val="auto"/>
        </w:rPr>
      </w:pPr>
    </w:p>
    <w:p>
      <w:pPr>
        <w:ind w:left="4"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Expense Reimbursement</w:t>
      </w:r>
      <w:r>
        <w:rPr>
          <w:rFonts w:ascii="Times New Roman" w:cs="Times New Roman" w:eastAsia="Times New Roman" w:hAnsi="Times New Roman"/>
          <w:sz w:val="18"/>
          <w:szCs w:val="18"/>
          <w:color w:val="auto"/>
        </w:rPr>
        <w:t>. Under the Management Agreement, ZelnickMedia will be entitled to the reimbursement of reasonable out-of-pocket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connection with the Management Agreement and the rendering of services thereunder.</w:t>
      </w:r>
    </w:p>
    <w:p>
      <w:pPr>
        <w:spacing w:after="0" w:line="158"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Restrictions on Sale of Stock</w:t>
      </w:r>
      <w:r>
        <w:rPr>
          <w:rFonts w:ascii="Times New Roman" w:cs="Times New Roman" w:eastAsia="Times New Roman" w:hAnsi="Times New Roman"/>
          <w:sz w:val="18"/>
          <w:szCs w:val="18"/>
          <w:color w:val="auto"/>
        </w:rPr>
        <w:t>. Under the Management Agreement, prior to March 31, 2029 (or earlier in the event of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ZelnickMedia and any Subject Person (as defined in the Management Agreement) are prohibited from selling or otherwise disposing of any shares of common stock of the Company, if the Market Value (as defined in the Management Agreement) of all shares of common stock of the Company (including any restricted stock and restricted stock units but excluding unvested performance based awards), after giving effect to such proposed sale or other disposition, owned by ZelnickMedia and each Subject Person in the aggregate as of the trading day immediately preceding the date of the proposed sale or disposition, would be less than six times (6X) the per annum management fee (excluding any bonuses).</w:t>
      </w:r>
    </w:p>
    <w:p>
      <w:pPr>
        <w:spacing w:after="0" w:line="2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1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Assuming the Effective Date occurs, on the same date that the Company makes is fiscal 2023 annual restricted stock unit grant to its officers and employees, the Company will issue time-based and performance-based restricted stock units to ZelnickMedia, as further described below, pursuant to the forms of Restricted Stock Unit Agreements attached as exhibits to the Management Agreement, to be entered into by the Company and ZelnickMedia (the “RSU Agreements”). The Company, in its discretion, may grant additional equity awards to ZelnickMedia annually over the course of the term of the Management Agreement.</w:t>
      </w:r>
    </w:p>
    <w:p>
      <w:pPr>
        <w:spacing w:after="0" w:line="18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Time-Based Award</w:t>
      </w:r>
      <w:r>
        <w:rPr>
          <w:rFonts w:ascii="Times New Roman" w:cs="Times New Roman" w:eastAsia="Times New Roman" w:hAnsi="Times New Roman"/>
          <w:sz w:val="18"/>
          <w:szCs w:val="18"/>
          <w:color w:val="auto"/>
        </w:rPr>
        <w:t>. The Company will make three separate grants of time-based restricted stock units to ZelnickMedia equal to the number as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dividing $4,618,519, $5,055,556, and $6,866,667, respectively, by the price per share of the Company’s common stock used for the Company’s fiscal 2023 annual restricted stock unit grant to the Company’s officers and employees (the “Reference Price”). The first grant will have a two-year cliff vesting and will vest in June 2024, the second grant will have three-year cliff vesting and will vest in June 2025 and the third grant will vest annually in three equal amounts during the three year period ending in June 2025, in each case, provided that the Management Agreement has not been terminated prior to such date (the “Time-Based Awards”). Notwithstanding the foregoing, the Time-Based Awards will immediately vest in full if the Management Agreement is terminated by the Company without Cause or by ZelnickMedia for Good Reason. Conversely, ZelnickMedia will forfeit to the Company all unvested restricted stock units under the Time-Based Awards if the Management Agreement is terminated by the Company for Cause or by ZelnickMedia without Good Reason.</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95" w:right="459" w:bottom="1440" w:gutter="0" w:footer="0" w:header="0"/>
        </w:sectPr>
      </w:pPr>
    </w:p>
    <w:bookmarkStart w:id="3" w:name="page4"/>
    <w:bookmarkEnd w:id="3"/>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Performance-Based Award</w:t>
      </w:r>
      <w:r>
        <w:rPr>
          <w:rFonts w:ascii="Times New Roman" w:cs="Times New Roman" w:eastAsia="Times New Roman" w:hAnsi="Times New Roman"/>
          <w:sz w:val="18"/>
          <w:szCs w:val="18"/>
          <w:color w:val="auto"/>
        </w:rPr>
        <w:t>. The Company will make three separate grants of performance-based restricted stock units to ZelnickMedia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equal to the number as is determined by dividing $9,237,037, $10,111,111 and $13,733,333, respectively, by the Reference Price, which units represent the target number of performance-based restricted stock units that are eligible to vest (with the maximum number of performance-based restricted stock units being equal to 200% of the target amount). Each Performance Award will be divided into two categories of vesting as follows: (i) 25% of the restricted stock unit award will be based on an operational performance metric relating to recurrent consumer spending during the applicable performance period and will vest in June 2024 with respect to the first grant and in June 2025 with respect to the second and third grants and (ii) 75% of the restricted stock unit award will be based on the performance of the Company’s stock price relative to the Nasdaq-100 index during the applicable performance period and will vest in June 2024 with respect to the first grant and in June 2025 with respect to the second and third grants.</w:t>
      </w:r>
    </w:p>
    <w:p>
      <w:pPr>
        <w:spacing w:after="0" w:line="19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any portion of the Performance Awards do not become vested in accordance with their terms, or upon a termination of the Management Agreement by the Company for Cause or by ZelnickMedia without Good Reason, ZelnickMedia will forfeit to the Company any and all restricted stock units that have not vested as of such date.</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Upon a termination of the Management Agreement by the Company without Cause or by ZelnickMedia for Good Reason, any then-unvested restricted stock units granted pursuant to the Performance Awards (including any restricted stock units granted to ZelnickMedia during the term of the Management Agreement on or after the Effective Date) will vest either (x) based on the assumption that the applicable performance measure was achieved at the target level of performance for the applicable performance period, or (y) prior to a Change in Control (as defined in the Management Agreement), solely for TSR Performance-Based Units (as defined in the RSU Agreement), based on the actual level of performance achieved as of the date of termination.</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If the Company and ZelnickMedia fail to enter into a new management agreement on substantially similar terms in the aggregate as those provided under the Management Agreement upon the expiration of the term of the Management Agreement or otherwise fail to agree to extend the term of the Management Agreement, all unvested time-vesting restricted stock units granted during the term of the Management Agreement on or after the Effective Date will vest upon such expiration and all then-unvested performance-vesting restricted stock units will vest either (x) based on the assumption that the applicable performance measure was achieved at the target level of performance for the applicable performance period or (y) prior to a Change in Control, solely for TSR Performance-Based Units (as defined in the RSU Agreement), based on the actual level of performance achieved as of the date of termination.</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 Change in Control occurs during the term of the Management Agreement, the Management Agreement will not automatically terminate and all unvested restricted stock units granted pursuant to the RSU Agreement will remain subject to the same vesting terms set forth in the RSU Agreement, except that any restricted stock units granted to ZelnickMedia on or after the Effective Date will vest upon the earlier to occur of (x) a termination of the Management Agreement by the Company without Cause or by ZelnickMedia for Good Reason or (y) the applicable original vesting date, and, with respect to any performance-based restricted stock units, in each case, based on the assumption of that the applicable performance measure was achieved at the target level of performance for the applicable performance period.</w:t>
      </w:r>
    </w:p>
    <w:p>
      <w:pPr>
        <w:spacing w:after="0" w:line="18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Existing Awards</w:t>
      </w:r>
      <w:r>
        <w:rPr>
          <w:rFonts w:ascii="Times New Roman" w:cs="Times New Roman" w:eastAsia="Times New Roman" w:hAnsi="Times New Roman"/>
          <w:sz w:val="18"/>
          <w:szCs w:val="18"/>
          <w:color w:val="auto"/>
        </w:rPr>
        <w:t>. Upon any termination of the Management Agreement by the Company for Cause or by ZelnickMedia without Good Reason,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then-unvested restricted stock units granted prior to the Effective Date will be forfeited for no consideration. Upon any termination of the Management Agreement by the Company without Cause or by ZelnickMedia for Good Reason, any then-unvested time-based restricted stock units granted prior to the Effective Date will vest, and any then-unvested performance-based restricted stock units granted prior to the Effective Date will vest in accordance with the terms of the applicable grant agreement between the Company and ZelnickMedia.</w:t>
      </w:r>
    </w:p>
    <w:p>
      <w:pPr>
        <w:spacing w:after="0" w:line="18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Settlement of Restricted Stock Units</w:t>
      </w:r>
      <w:r>
        <w:rPr>
          <w:rFonts w:ascii="Times New Roman" w:cs="Times New Roman" w:eastAsia="Times New Roman" w:hAnsi="Times New Roman"/>
          <w:sz w:val="18"/>
          <w:szCs w:val="18"/>
          <w:color w:val="auto"/>
        </w:rPr>
        <w:t>. Pursuant to the Management Agreement, the Company will have the right to elect to settle the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granted to ZelnickMedia pursuant to the Management Agreement in shares of the Company’s common stock that will be issued pursuant to the Take-Two Interactive Software, Inc. 2017 Stock Incentive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5" w:right="459" w:bottom="1440" w:gutter="0" w:footer="0" w:header="0"/>
        </w:sectPr>
      </w:pPr>
    </w:p>
    <w:bookmarkStart w:id="4" w:name="page5"/>
    <w:bookmarkEnd w:id="4"/>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Registration Statement</w:t>
      </w:r>
      <w:r>
        <w:rPr>
          <w:rFonts w:ascii="Times New Roman" w:cs="Times New Roman" w:eastAsia="Times New Roman" w:hAnsi="Times New Roman"/>
          <w:sz w:val="18"/>
          <w:szCs w:val="18"/>
          <w:color w:val="auto"/>
        </w:rPr>
        <w:t>. Within 45 days following the request of ZelnickMedia, the Company will file a Registration Statement on Form S-3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registering all of the shares of the Company’s common stock issuable pursuant to awards granted to ZelnickMedia under the RSU Agreements and any grant agreements entered into with respect to additional grants by the Company in accordance with the Management Agreement.</w:t>
      </w:r>
    </w:p>
    <w:p>
      <w:pPr>
        <w:spacing w:after="0" w:line="17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Management Agreement and the RSU Agreements (including the Time-Based Award and the Performance Award issuable to ZelnickMedia thereunder) are only a summary and are qualified in their entirety by reference to the full text of the Management Agreement (and the RSU Agreements attached thereto), which is attached as Exhibit 10.1 to this Current Report on Form 8-K and incorporated herein by reference into this Item 1.01.</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and the transactions contemplated thereby, Take-Two filed a joint proxy statement/prospectus with the SEC on April 7, 2022 (the “Joint Proxy Statement/Prospectus”). This Item 8.01 discloses certain additional information relating to the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information supplements the Joint Proxy Statement/Prospectus, and should be read in conjunction with the Joint Proxy Statement/Prospectus, which should be read in its entirety, including the annexes thereto. All page references in the information below are references to pages in the Joint Proxy Statement/Prospectus, and the terms used below have the meanings set forth in the Joint Proxy Statement/Prospectus. For clarity, new text within restated paragraphs from the joint proxy statement/prospectus is highlighted with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and deleted text within restated paragraphs from the joint proxy statement/prospectus is highlighted with </w:t>
      </w:r>
      <w:r>
        <w:rPr>
          <w:rFonts w:ascii="Times New Roman" w:cs="Times New Roman" w:eastAsia="Times New Roman" w:hAnsi="Times New Roman"/>
          <w:sz w:val="18"/>
          <w:szCs w:val="18"/>
          <w:color w:val="auto"/>
          <w:strike w:val="1"/>
        </w:rPr>
        <w:t>strikethrough text</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Combination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the Combination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below paragraph under the sub-heading “Background of the Combination” is amended and supplemented as follows:</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On October 4, 2021, the Zynga board of directors met, with members of Zynga management and representatives of Wilson Sonsini Goodrich &amp; Rosati, Professional Corporation (which is referred to as “Wilson Sonsini”), outside legal counsel to Zynga, in attendance. Mr. Gibeau reviewed for the Zynga board of directors the nature of discussions with Party A and Party B, including Party A’s desire to meet with Zynga management to better understand Zynga’s business and strategy. Mr. Gibeau reminded the Zynga board of directors of historical discussions between Zynga and Take-Two, which discussions included Take-Two’s non-specific interest in acquiring Zynga prior to October 2021. The representatives of Wilson Sonsini reviewed with the members of the Zynga board of directors their fiduciary duties. It was the consensus of the Zynga board of directors that Zynga management should agree to Party A’s request for a management presentation, and that Mr. Gibeau should continue discussions with Party A. Given Party A’s prior non-specific expressions of interest in an acquisition of Zynga, the Zynga board of directors was aware that the meeting with Party A had the potential to lead to a substantive proposal by Party A to acquire Zynga. As result, the Zynga board of directors also discussed various ways in which Zynga could undertake a review of its strategic alternatives. To provide assistance to, and oversight of, Zynga management, the Zynga board of directors established a strategic committee (which we refer to as the “Strategic Committee”). The Strategic Committee was formed in the light of (1) the potentially significant workload that could be involved in any decision by Zynga to evaluate strategic alternatives; (2) the possibility that Zynga management may need feedback and direction on relatively short notice; and (3) the benefits and convenience of having a subset of directors oversee any process of considering strategic alternatives. The Zynga board of directors authorized and instructed the Strategic Committee to, among other things, (1) oversee and provide </w:t>
      </w:r>
      <w:r>
        <w:rPr>
          <w:rFonts w:ascii="Times New Roman" w:cs="Times New Roman" w:eastAsia="Times New Roman" w:hAnsi="Times New Roman"/>
          <w:sz w:val="18"/>
          <w:szCs w:val="18"/>
          <w:color w:val="auto"/>
          <w:strike w:val="1"/>
        </w:rPr>
        <w:t xml:space="preserve">assistance to Zynga management and its advisors with respect to the exploration, evaluation, consideration, review and negotiation of the terms and conditions of any strategic alternative, including any sale of Zynga; (2) take such other actions with respect to any strategic alternative as the Strategic Committee deemed necessary, appropriate or advisable; and (3) recommend what action, if any, that the Zynga board of directors should take with respect to any strategic alternative. The Zynga board of directors retained the power and authority to approve the final decision on pursuing a strategic alternative, including a sale of Zynga. </w:t>
      </w:r>
      <w:r>
        <w:rPr>
          <w:rFonts w:ascii="Times New Roman" w:cs="Times New Roman" w:eastAsia="Times New Roman" w:hAnsi="Times New Roman"/>
          <w:sz w:val="18"/>
          <w:szCs w:val="18"/>
          <w:b w:val="1"/>
          <w:bCs w:val="1"/>
          <w:u w:val="single" w:color="auto"/>
          <w:color w:val="auto"/>
          <w:strike w:val="1"/>
        </w:rPr>
        <w:t>(1) oversee and assist Zynga’s management, advisors and consultants with respect to the exploration and</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evaluation of strategic alternatives, including to explore, evaluate and consider potential counterparties to any strategic alternative, and to authorize and direct Zynga’s management, advisors and consultants to engage in discussions and negotiations with any such potential counterparties; (2) explore, evaluate, consider, review and negotiate the terms and conditions of any strategic alternative, and to take such other actions with respect to any strategic alternative as the Strategic Committee may deem necessary, appropriate or advisable; (3) if appropriate, recommend to the Zynga board of directors what action, if any, should be taken by Zynga with respect to any strategic alternative; and (4) take such other actions and do such other things as delegated from time to time to the Strategic Committee by the Zynga board of directors. The Strategic Committee was to update the Zynga board of directors from time to time concerning the Strategic Committee’s activities. The Zynga board of directors further authorized the Strategic Committee to do all acts necessary or appropriate in the judgment of the Strategic Committee to carry out its duties.</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The Zynga board of directors retained the power and authority to approve the</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entry by Zynga into any definitive</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agreement providing for any</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final decision on pursuing a</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strategic alternative, including a sale of Zynga. It was also understood that the Zynga board</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 xml:space="preserve">of directors would continue to have an active role in the consideration of strategic alternatives. The Zynga board of directors appointed Janice Roberts, Zynga’s Lead Independent Director, and Ellen Siminoff, the Chair of Zynga’s Nominating/Corporate Governance Committee, both of whom are independent members of the Zynga board of directors </w:t>
      </w:r>
      <w:r>
        <w:rPr>
          <w:rFonts w:ascii="Times New Roman" w:cs="Times New Roman" w:eastAsia="Times New Roman" w:hAnsi="Times New Roman"/>
          <w:sz w:val="18"/>
          <w:szCs w:val="18"/>
          <w:b w:val="1"/>
          <w:bCs w:val="1"/>
          <w:u w:val="single" w:color="auto"/>
          <w:color w:val="auto"/>
          <w:strike w:val="1"/>
        </w:rPr>
        <w:t>under applicable rules and law</w:t>
      </w:r>
      <w:r>
        <w:rPr>
          <w:rFonts w:ascii="Times New Roman" w:cs="Times New Roman" w:eastAsia="Times New Roman" w:hAnsi="Times New Roman"/>
          <w:sz w:val="18"/>
          <w:szCs w:val="18"/>
          <w:color w:val="auto"/>
          <w:strike w:val="1"/>
        </w:rPr>
        <w:t>, as the members of the Strategic Committee. Noting the preliminary discussions between Goldman Sachs and Zynga management, the Zynga board of directors instructed the Strategic Committee to review the retention of a financial advisor to assist 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-2818130</wp:posOffset>
            </wp:positionV>
            <wp:extent cx="1109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9980"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5" w:right="4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below paragraph under the sub-heading “Background of the Combination” is amended and supplemented as follows:</w:t>
      </w:r>
    </w:p>
    <w:p>
      <w:pPr>
        <w:spacing w:after="0" w:line="11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On December 17, 2021, </w:t>
      </w:r>
      <w:r>
        <w:rPr>
          <w:rFonts w:ascii="Times New Roman" w:cs="Times New Roman" w:eastAsia="Times New Roman" w:hAnsi="Times New Roman"/>
          <w:sz w:val="18"/>
          <w:szCs w:val="18"/>
          <w:b w:val="1"/>
          <w:bCs w:val="1"/>
          <w:u w:val="single" w:color="auto"/>
          <w:color w:val="auto"/>
        </w:rPr>
        <w:t>as contemplated by the Strategic Committee during its meeting on December 13, 2021,</w:t>
      </w:r>
      <w:r>
        <w:rPr>
          <w:rFonts w:ascii="Times New Roman" w:cs="Times New Roman" w:eastAsia="Times New Roman" w:hAnsi="Times New Roman"/>
          <w:sz w:val="18"/>
          <w:szCs w:val="18"/>
          <w:color w:val="auto"/>
        </w:rPr>
        <w:t xml:space="preserve"> Mr. Zelnick met with Mr. Gibeau, Ms. Siminoff and Mark Pincus, Zynga’s chairman. Those present discussed the strategic rationale for a combination of Zynga with Take-Two, including how to position the combined company to investors. During this discussion, Mr. Zelnick expressed Take-Two’s willingness to expand the Take-Two board of directors to accommodate two of the current members of the Zynga board of directors.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below paragraph under the sub-heading “Background of the Combination” is amended and supplemented as follows:</w:t>
      </w:r>
    </w:p>
    <w:p>
      <w:pPr>
        <w:spacing w:after="0" w:line="11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Also on December 17, 2021, Goldman Sachs provided the Zynga board of directors with customary relationship disclosures regarding Goldman Sachs’ relationships with Take-Two, Party A and Party B. </w:t>
      </w:r>
      <w:r>
        <w:rPr>
          <w:rFonts w:ascii="Times New Roman" w:cs="Times New Roman" w:eastAsia="Times New Roman" w:hAnsi="Times New Roman"/>
          <w:sz w:val="17"/>
          <w:szCs w:val="17"/>
          <w:b w:val="1"/>
          <w:bCs w:val="1"/>
          <w:u w:val="single" w:color="auto"/>
          <w:color w:val="auto"/>
        </w:rPr>
        <w:t>The disclosures included, among other information, that Goldman Sachs Bank USA, 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(“Goldman Sachs Bank”), an affiliate of Goldman Sachs, was acting as a lender to Take-Two. This disclosure related to a lending relationship pursuant to which, on June 28, 2021, Take-Two and Goldman Sachs Bank executed a First Amendment to Credit Agreement and Incremental Amendment (the “Credit Agreement”) under which Goldman Sachs Bank agreed to serve as an incremental lender to Take-Two. The Credit Agreement provides for an unsecured five-year revolving credit facility with commitments of $250 million from five banks, including Goldman Sachs Bank, with Goldman Sachs Bank committing $50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Zynga board of directors did not identify any concerns with these disclosures.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Further, as previously disclosed by Take-Two, as of December 31, 2021, Take-Two had no outstanding borrowings under the Credit Agreement. In addition, the total amount of fees earned by Goldman Sachs Bank under the Credit Agreement is approximately $58,000.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Goldman Sachs provided to Zynga management, for the information of the Zynga board of directors, materials that summarized, based on theoretical models, the potential effects of the announcement and of the consummation of an acquisition of Zynga on the capped call transactions that Zynga entered into with Goldman Sachs and other counterparties, each acting as principal for its own account, with respect to Zynga’s 0.25% convertible senior notes due 2024 in June 2019 and 0% convertible senior notes due 2026 in December 2020.</w:t>
      </w:r>
    </w:p>
    <w:p>
      <w:pPr>
        <w:spacing w:after="0" w:line="296"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below paragraph under the sub-heading “Opinions of Take-Two’s Financial Advisors – Opinion of J.P. Morgan Securities, LLC” is amended and supplemented as follows: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95" w:right="499" w:bottom="1440" w:gutter="0" w:footer="0" w:header="0"/>
        </w:sectPr>
      </w:pPr>
    </w:p>
    <w:bookmarkStart w:id="6" w:name="page7"/>
    <w:bookmarkEnd w:id="6"/>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For services rendered in connection with the combination, Take-Two has agreed to pay J.P. Morgan $34.0 million, of which $3.0 million was payable in connection with delivery of J.P. Morgan’s opinion and $31.0 million is contingent and payable upon the effective time. In addition, Take-Two has agreed to reimburse J.P. Morgan for certain expenses incurred in connection with its services and indemnify J.P. Morgan for certain liabilities arising out of its engagement. During the two years preceding the date of J.P. Morgan’s opinion letter, neither J.P. Morgan nor its affiliates have had any other material financial advisory or other material commercial or investment banking relationships with Take-Two. During the two years preceding the date of J.P. Morgan’s opinion letter, J.P. Morgan and its affiliates have had commercial or investment banking relationships with Zynga for which J.P. Morgan and such affiliates have received customary compensation. Such services during such period have included acting as joint lead bookrunner on Zynga’s offering of debt securities in December 2020. </w:t>
      </w:r>
      <w:r>
        <w:rPr>
          <w:rFonts w:ascii="Times New Roman" w:cs="Times New Roman" w:eastAsia="Times New Roman" w:hAnsi="Times New Roman"/>
          <w:sz w:val="17"/>
          <w:szCs w:val="17"/>
          <w:color w:val="auto"/>
          <w:strike w:val="1"/>
        </w:rPr>
        <w:t>An affiliate of J.P. Morgan has committed to arrange and/or provide financing to Take-Two in connection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 xml:space="preserve">with the merger for customary compensation. </w:t>
      </w:r>
      <w:r>
        <w:rPr>
          <w:rFonts w:ascii="Times New Roman" w:cs="Times New Roman" w:eastAsia="Times New Roman" w:hAnsi="Times New Roman"/>
          <w:sz w:val="17"/>
          <w:szCs w:val="17"/>
          <w:b w:val="1"/>
          <w:bCs w:val="1"/>
          <w:u w:val="single" w:color="auto"/>
          <w:color w:val="auto"/>
          <w:strike w:val="1"/>
        </w:rPr>
        <w:t>An affiliate of J.P. Morgan has committed to arrange and/or underwrite and/or provide financing to</w:t>
      </w:r>
    </w:p>
    <w:p>
      <w:pPr>
        <w:spacing w:after="0" w:line="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auto"/>
        </w:rPr>
        <w:t>Take-Two in connection with the merger for which this affiliate has been and will be paid customary fees in an aggregate amount of approximately $14.5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J.P. Morgan and its affiliates hold, on a proprietary basis, less than 1% of the outstanding common stock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Zynga and Take-Two. During the two year period preceding delivery of its opinion, the aggregate fees recognized by J.P. Morgan</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Take-Two were approximately $0.8 million and from Zynga were approximately $4.5 million. In the ordinary course of its businesses, J.P. Morgan and its affiliates may actively trade the debt and equity securities or financial instruments (including derivatives, bank loans or other obligations) of Zynga or Take-Two for its own account or for the accounts of customers and, accordingly, J.P. Morgan may at any time hold long or short positions in such securities or other financial instruments.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Statements contained herein which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proposed business combination of Take-Two and Zynga and the outlook for Take-Two’s or Zynga’s future business and financial performance. Such forward-looking statements are based on the current beliefs of Take-Two and Zynga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occurrence of any event, change or other circumstances that could give rise to the termination of the merger agreement; the failure to satisfy remaining conditions to completion of the proposed combination on a timely basis or at all; risks that the proposed combination disrupts each company’s current plans and operations; the diversion of the attention of the respective management teams</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of Take-Two and Zynga from their respective ongoing business operations; the ability of either Take-Two, Zynga or the combined company to retain key personnel; the ability to realize the benefits of the proposed combination,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following announcement of the proposed combination; the amount of the costs, fees, expenses and charges related to the proposed combination; the uncertainty of the impact of the COVID-19 pandemic and measures taken in response thereto; the effect of economic, market or business conditions, including competition, consumer demand and the discretionary spending patterns of customers, or changes in such conditions, have on Take-Two’s, Zynga’s and the combined company’s operations, revenue, cash flow, operating expenses, employee hiring and retention, relationships with business partners, the development, launch or monetization of games and other products, and customer engagement, retention and growth; the risks of conducting Take-Two’s and Zynga’s business internationally; the impact of changes in interest rates by the Federal Reserve and other central banks; the impact of potential inflation, volatility in foreign currency exchange rates and supply chain disruptions; the ability to maintain acceptable pricing levels and monetization rates for Take-Two’s and Zynga’s games; and risks relating to the market value of Take-Two’s common stock to be issued in the proposed combination.</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important factors and information are contained in the joint proxy statement/prospectus mailed by Take-Two to its stockholders in connection with the proposed business combination of Take-Two and Zynga and in Take-Two’s and Zynga’s most recent Annual Reports on Form 10-K, including the risks summarized in the section entitled “Risk Factors,” in Take-Two’s and Zynga’s most recent Quarterly Reports on Form 10-Q, and in each company’s other periodic filings with the SEC, which can be accessed at www.take2games.com in the case of Take-Two, http://investor.zynga.com in the case of Zynga, or www.sec.gov. All forward-looking statements are qualified by these cautionary statements and apply only as of the date they are made. Neither Take-Two nor Zynga undertakes any obligation to update any forward-looking statement, whether as a result of new information, future events or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7"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communication relates to a proposed business combination of Take-Two and Zynga. In connection with the proposed business</w:t>
      </w:r>
    </w:p>
    <w:p>
      <w:pPr>
        <w:spacing w:after="0" w:line="27" w:lineRule="exact"/>
        <w:rPr>
          <w:sz w:val="20"/>
          <w:szCs w:val="20"/>
          <w:color w:val="auto"/>
        </w:rPr>
      </w:pPr>
    </w:p>
    <w:p>
      <w:pPr>
        <w:ind w:left="4" w:right="100"/>
        <w:spacing w:after="0" w:line="250" w:lineRule="auto"/>
        <w:rPr>
          <w:sz w:val="20"/>
          <w:szCs w:val="20"/>
          <w:color w:val="auto"/>
        </w:rPr>
      </w:pPr>
      <w:r>
        <w:rPr>
          <w:rFonts w:ascii="Times New Roman" w:cs="Times New Roman" w:eastAsia="Times New Roman" w:hAnsi="Times New Roman"/>
          <w:sz w:val="18"/>
          <w:szCs w:val="18"/>
          <w:color w:val="auto"/>
        </w:rPr>
        <w:t>combination Take-Two filed a registration statement on Form S-4 with the U.S. Securities and Exchange Commission (the “SEC”), that includes a joint proxy statement/prospectus. The registration statement on Form S-4, including the joint proxy statement/prospectus, provides details of the proposed combination and the attendant benefits and risks. The registration statement was declared effective on April 7, 2022 and the definitive joint proxy statement/prospectus was sent to Take-Two and Zynga stockholders. This communication is not a substitute for the registration statement on</w:t>
      </w:r>
    </w:p>
    <w:p>
      <w:pPr>
        <w:spacing w:after="0" w:line="2" w:lineRule="exact"/>
        <w:rPr>
          <w:sz w:val="20"/>
          <w:szCs w:val="20"/>
          <w:color w:val="auto"/>
        </w:rPr>
      </w:pPr>
    </w:p>
    <w:p>
      <w:pPr>
        <w:ind w:left="4" w:right="140"/>
        <w:spacing w:after="0" w:line="252" w:lineRule="auto"/>
        <w:rPr>
          <w:sz w:val="20"/>
          <w:szCs w:val="20"/>
          <w:color w:val="auto"/>
        </w:rPr>
      </w:pPr>
      <w:r>
        <w:rPr>
          <w:rFonts w:ascii="Times New Roman" w:cs="Times New Roman" w:eastAsia="Times New Roman" w:hAnsi="Times New Roman"/>
          <w:sz w:val="18"/>
          <w:szCs w:val="18"/>
          <w:color w:val="auto"/>
        </w:rPr>
        <w:t>Form S-4, including the joint proxy statement/prospectus, or any other document that Take-Two or Zynga may file with the SEC or send to their respective stockholders in connection with the proposed combination. Investors and security holders are urged to read the registration statement on Form S-4, including the definitive joint proxy statement/prospectus, and all other relevant documents filed with the SEC or sent to Take-Two’s or Zynga’s stockholders as they become available because they will contain important information about the proposed combination. All documents, when filed, will be available free of charge at the SEC’s website (www.sec.gov). You may also obtain these documents by contacting Take-Two’s Investor Relations department at contact@take2games.com; or by contacting Zynga’s Investor Relations department at investors@zynga.com. This communication does not constitute an offer to sell or the solicitation of an offer to buy any securities or a solicitation of any vote or approval.</w:t>
      </w: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vMerge w:val="restart"/>
          </w:tcPr>
          <w:p>
            <w:pPr>
              <w:spacing w:after="0"/>
              <w:rPr>
                <w:sz w:val="24"/>
                <w:szCs w:val="24"/>
                <w:color w:val="auto"/>
              </w:rPr>
            </w:pPr>
          </w:p>
        </w:tc>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5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Second Amendment to the Agreement and Plan of Merger, dated as of May 4, 2022 by and among Take-Two Interactive Software, Inc.,</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Merger Sub 1, Merger Sub 2 and Zynga</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95"/>
              </w:rPr>
              <w:t>10.1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Management Agreement, dated as of May 3, 2022 by and between Take-Two Interactive Software, Inc. and ZelnickMedia Corporation</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4" w:right="3980" w:hanging="5404"/>
        <w:spacing w:after="0" w:line="454" w:lineRule="auto"/>
        <w:tabs>
          <w:tab w:leader="none" w:pos="12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-8-</w:t>
      </w:r>
    </w:p>
    <w:p>
      <w:pPr>
        <w:sectPr>
          <w:pgSz w:w="11900" w:h="16838" w:orient="portrait"/>
          <w:cols w:equalWidth="0" w:num="1">
            <w:col w:w="11004"/>
          </w:cols>
          <w:pgMar w:left="436" w:top="293"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Breitman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Breitman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Americas &amp;</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93"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 AGREEMENT AND PLAN OF MERGER</w:t>
      </w:r>
    </w:p>
    <w:p>
      <w:pPr>
        <w:spacing w:after="0" w:line="229"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THIS SECOND AMENDMENT TO THE AGREEMENT AND PLAN OF MERGER (this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dated as of May 4, 2022, is by and among Take-Two Interactive Software,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Zebra MS I, Inc., a Delaware corporation and a direct Wholly Owned Subsidiary of Parent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Zebra MS II, Inc., a Delaware corporation and a direct Wholly Owned Subsidiary of Parent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together with Merger Sub 1,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Zynga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the Company and the Merger Subs entered into that certain Agreement and Plan of Merger, dated as of January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the Company and the Merger Subs entered into that certain First Amendment to the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March 10, 2022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the Company and the Merger Subs wish to amend the Merger Agreement pursuant to Section 9.3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manner set forth herein.</w:t>
      </w:r>
    </w:p>
    <w:p>
      <w:pPr>
        <w:spacing w:after="0" w:line="155" w:lineRule="exact"/>
        <w:rPr>
          <w:sz w:val="20"/>
          <w:szCs w:val="20"/>
          <w:color w:val="auto"/>
        </w:rPr>
      </w:pPr>
    </w:p>
    <w:p>
      <w:pPr>
        <w:ind w:right="6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respective Boards of Directors of Parent, Merger Sub 1, Merger Sub 2 and the Company have each approved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advisable this Second Amendment;</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adequacy of which are hereby acknowledged, and intending to be legally bound hereby, the parties agree as follows:</w:t>
      </w:r>
    </w:p>
    <w:p>
      <w:pPr>
        <w:spacing w:after="0" w:line="267" w:lineRule="exact"/>
        <w:rPr>
          <w:sz w:val="20"/>
          <w:szCs w:val="20"/>
          <w:color w:val="auto"/>
        </w:rPr>
      </w:pPr>
    </w:p>
    <w:p>
      <w:pPr>
        <w:ind w:left="760" w:hanging="32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u w:val="single" w:color="auto"/>
          <w:color w:val="auto"/>
        </w:rPr>
        <w:t xml:space="preserve">Section 1.2 </w:t>
      </w:r>
      <w:r>
        <w:rPr>
          <w:rFonts w:ascii="Times New Roman" w:cs="Times New Roman" w:eastAsia="Times New Roman" w:hAnsi="Times New Roman"/>
          <w:sz w:val="17"/>
          <w:szCs w:val="17"/>
          <w:color w:val="auto"/>
        </w:rPr>
        <w:t>of the Merger Agreement is hereby amended and restated in its entirety as set forth below:</w:t>
      </w:r>
    </w:p>
    <w:p>
      <w:pPr>
        <w:spacing w:after="0" w:line="113" w:lineRule="exact"/>
        <w:rPr>
          <w:sz w:val="20"/>
          <w:szCs w:val="20"/>
          <w:color w:val="auto"/>
        </w:rPr>
      </w:pPr>
    </w:p>
    <w:p>
      <w:pPr>
        <w:ind w:left="440" w:right="60"/>
        <w:spacing w:after="0" w:line="257" w:lineRule="auto"/>
        <w:rPr>
          <w:sz w:val="20"/>
          <w:szCs w:val="20"/>
          <w:color w:val="auto"/>
        </w:rPr>
      </w:pPr>
      <w:r>
        <w:rPr>
          <w:rFonts w:ascii="Times New Roman" w:cs="Times New Roman" w:eastAsia="Times New Roman" w:hAnsi="Times New Roman"/>
          <w:sz w:val="18"/>
          <w:szCs w:val="18"/>
          <w:b w:val="1"/>
          <w:bCs w:val="1"/>
          <w:color w:val="auto"/>
        </w:rPr>
        <w:t>Section 1.2. Closing</w:t>
      </w:r>
      <w:r>
        <w:rPr>
          <w:rFonts w:ascii="Times New Roman" w:cs="Times New Roman" w:eastAsia="Times New Roman" w:hAnsi="Times New Roman"/>
          <w:sz w:val="18"/>
          <w:szCs w:val="18"/>
          <w:color w:val="auto"/>
        </w:rPr>
        <w:t>. Unless this Agreement shall have been terminated pursuant to the provisions of Section 9.1, the closing of the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on a date agreed by the parties, which date shall be not more than three Business Days after the satisfaction or waiver (subject to applicable Law) of the conditions (other than those conditions that, by their nature, are to be satisfied at the Closing, but subject to the satisfaction or, to the extent permitted by law, waiver of those conditions as of the Closing) set forth in Article VIII (the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be held by means of a virtual closing through electronic exchange of signatures, unless another place is agreed to in writing by the parties hereto.</w:t>
      </w:r>
    </w:p>
    <w:p>
      <w:pPr>
        <w:spacing w:after="0" w:line="186" w:lineRule="exact"/>
        <w:rPr>
          <w:sz w:val="20"/>
          <w:szCs w:val="20"/>
          <w:color w:val="auto"/>
        </w:rPr>
      </w:pPr>
    </w:p>
    <w:p>
      <w:pPr>
        <w:ind w:right="200" w:firstLine="436"/>
        <w:spacing w:after="0" w:line="282" w:lineRule="auto"/>
        <w:tabs>
          <w:tab w:leader="none" w:pos="7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and not defined in this Second Amendment shall have the meanings ascribed to such terms in the Merger Agreement.</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7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Except as expressly amended and/or superseded by this Second Amendment, the Merger Agreement remains and shall remain in full force and effect. This Second Amendment shall not constitute an amendment or waiver of any provision of the Merger Agreement not expressly amended or waived herein and shall not be construed as an amendment, waiver or consent to any action that would require an amendment, waiver or consent, except as expressly set forth herein. Upon the execution and delivery hereof, the Merger Agreement shall thereupon be deemed to be amended and supplemented as hereinabove set forth as fully and with the same effect as if the amendments and supplements made hereby were originally set forth in the Merger Agreement. This Second Amendment and the Merger Agreement shall each henceforth be read, taken and construed as one and the same instrument, but such amendments and supplements shall not operate so as to render invalid or improper any action heretofore taken under the Merger Agreement. If and to the extent there are any inconsistencies between the Merger Agreement and this Second Amendment with respect to the matters set forth herein, the terms of this Second Amendment shall control. References in the Merger Agreement to the Merger Agreement shall be deemed to mean the Merger Agreement as amended by this Second Amendment. On and after the date of this Second Amendment, each reference to the Merger Agreement, “this Agreement”, “hereof”, “hereunder”, “herein” or words of like import referring to the Merger Agreement shall mean and be a reference to the Merger Agreement as amended hereby, provided that references in the Merger Agreement to “the date hereof” or “the date of this Agreement” or words of like import shall continue to refer to the date of January 9, 2022.</w:t>
      </w:r>
    </w:p>
    <w:p>
      <w:pPr>
        <w:sectPr>
          <w:pgSz w:w="11900" w:h="16838" w:orient="portrait"/>
          <w:cols w:equalWidth="0" w:num="1">
            <w:col w:w="11020"/>
          </w:cols>
          <w:pgMar w:left="440" w:top="117" w:right="439" w:bottom="1440" w:gutter="0" w:footer="0" w:header="0"/>
        </w:sectPr>
      </w:pPr>
    </w:p>
    <w:bookmarkStart w:id="10" w:name="page11"/>
    <w:bookmarkEnd w:id="10"/>
    <w:p>
      <w:pPr>
        <w:ind w:left="-320" w:firstLine="43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Second Amendment may be executed in counterparts, (including by facsimile or other electronic transmission) each of which shall be deemed an original, but all of which shall constitute the same instrument.</w:t>
      </w:r>
    </w:p>
    <w:p>
      <w:pPr>
        <w:spacing w:after="0" w:line="159" w:lineRule="exact"/>
        <w:rPr>
          <w:rFonts w:ascii="Times New Roman" w:cs="Times New Roman" w:eastAsia="Times New Roman" w:hAnsi="Times New Roman"/>
          <w:sz w:val="18"/>
          <w:szCs w:val="18"/>
          <w:color w:val="auto"/>
        </w:rPr>
      </w:pPr>
    </w:p>
    <w:p>
      <w:pPr>
        <w:ind w:left="-320" w:right="40" w:firstLine="436"/>
        <w:spacing w:after="0" w:line="267"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of the Merger Agreement</w:t>
      </w:r>
      <w:r>
        <w:rPr>
          <w:rFonts w:ascii="Times New Roman" w:cs="Times New Roman" w:eastAsia="Times New Roman" w:hAnsi="Times New Roman"/>
          <w:sz w:val="18"/>
          <w:szCs w:val="18"/>
          <w:color w:val="auto"/>
        </w:rPr>
        <w:t>. Section 10.3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Section 10.4 (</w:t>
      </w:r>
      <w:r>
        <w:rPr>
          <w:rFonts w:ascii="Times New Roman" w:cs="Times New Roman" w:eastAsia="Times New Roman" w:hAnsi="Times New Roman"/>
          <w:sz w:val="18"/>
          <w:szCs w:val="18"/>
          <w:i w:val="1"/>
          <w:iCs w:val="1"/>
          <w:color w:val="auto"/>
        </w:rPr>
        <w:t>Governing Law; Jurisdiction; 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Section 10.6 (</w:t>
      </w:r>
      <w:r>
        <w:rPr>
          <w:rFonts w:ascii="Times New Roman" w:cs="Times New Roman" w:eastAsia="Times New Roman" w:hAnsi="Times New Roman"/>
          <w:sz w:val="18"/>
          <w:szCs w:val="18"/>
          <w:i w:val="1"/>
          <w:iCs w:val="1"/>
          <w:color w:val="auto"/>
        </w:rPr>
        <w:t>Severability; Construction; Certain Interpretations</w:t>
      </w:r>
      <w:r>
        <w:rPr>
          <w:rFonts w:ascii="Times New Roman" w:cs="Times New Roman" w:eastAsia="Times New Roman" w:hAnsi="Times New Roman"/>
          <w:sz w:val="18"/>
          <w:szCs w:val="18"/>
          <w:color w:val="auto"/>
        </w:rPr>
        <w:t>) and Section 10.8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of the Merger Agreement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60"/>
          </w:cols>
          <w:pgMar w:left="760" w:top="270" w:right="7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Second Amendment to be executed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Matt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Matt Breitman</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SVP &amp; GC Americas</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ZEBRA MS I,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Matt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Matt Breitman</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ZEBRA MS II,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Matt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Matt Breitman</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Amendment to the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000"/>
          </w:cols>
          <w:pgMar w:left="880" w:top="270" w:right="101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ZYNGA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Frank Gibeau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Frank Gibeau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Amendment to the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2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MANAGEMENT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3, 2022, which shall become effective on the date of the closing of the Combination (as defined below,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ZelnickMedia Corporation, a New York corporation (“</w:t>
      </w:r>
      <w:r>
        <w:rPr>
          <w:rFonts w:ascii="Times New Roman" w:cs="Times New Roman" w:eastAsia="Times New Roman" w:hAnsi="Times New Roman"/>
          <w:sz w:val="18"/>
          <w:szCs w:val="18"/>
          <w:u w:val="single" w:color="auto"/>
          <w:color w:val="auto"/>
        </w:rPr>
        <w:t>ZelnickMedia</w:t>
      </w:r>
      <w:r>
        <w:rPr>
          <w:rFonts w:ascii="Times New Roman" w:cs="Times New Roman" w:eastAsia="Times New Roman" w:hAnsi="Times New Roman"/>
          <w:sz w:val="18"/>
          <w:szCs w:val="18"/>
          <w:color w:val="auto"/>
        </w:rPr>
        <w:t>”), and Take-Two Interactive Software,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on January 9, 2022, the Company, Zebra MS I, Inc., a Delaware corporation and a direct wholly owned subsidiary of the Company, Zebra MS II, Inc., a Delaware corporation and a direct wholly owned subsidiary of the Company and Zynga Inc. entered in an Agreement and Plan of Merger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receive financial and management consulting services from ZelnickMedia from and after the closing of the transactions contemplated by the Merger Agreement (such transactions, the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WHEREAS, ZelnickMedia desires to continue to provide financial and management consulting services to the Company and the compensation arrangements set forth in this Agreement are designed to compensate ZelnickMedia for such services;</w:t>
      </w:r>
    </w:p>
    <w:p>
      <w:pPr>
        <w:spacing w:after="0" w:line="162"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WHEREAS, ZelnickMedia and the Company are parties to that certain Management Agreement, dated as of November 17, 2017, and effective as of January 1, 2018, by and between ZelnickMedia and the Company (the “</w:t>
      </w:r>
      <w:r>
        <w:rPr>
          <w:rFonts w:ascii="Times New Roman" w:cs="Times New Roman" w:eastAsia="Times New Roman" w:hAnsi="Times New Roman"/>
          <w:sz w:val="18"/>
          <w:szCs w:val="18"/>
          <w:u w:val="single" w:color="auto"/>
          <w:color w:val="auto"/>
        </w:rPr>
        <w:t>2017 Agreement</w:t>
      </w:r>
      <w:r>
        <w:rPr>
          <w:rFonts w:ascii="Times New Roman" w:cs="Times New Roman" w:eastAsia="Times New Roman" w:hAnsi="Times New Roman"/>
          <w:sz w:val="18"/>
          <w:szCs w:val="18"/>
          <w:color w:val="auto"/>
        </w:rPr>
        <w:t>”), which sets forth the terms of the existing management services agreement between ZelnickMedia and the Company;</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WHEREAS, ZelnickMedia and the Company desire to supersede and replace the 2017 Agreement in its entirety (except as otherwise expressly contemplated herein and therein and thereunder), effective as of the Effective Date; and</w:t>
      </w:r>
    </w:p>
    <w:p>
      <w:pPr>
        <w:spacing w:after="0" w:line="162"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WHEREAS, until the Effective Date, the Company and ZelnickMedia will continue to abide by and operate under the terms and conditions of the 2017 Agreement.</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agreements hereinafter set forth, and the mutual benefits to be derived herefrom, ZelnickMedia and the Company agree as follows:</w:t>
      </w:r>
    </w:p>
    <w:p>
      <w:pPr>
        <w:spacing w:after="0" w:line="162" w:lineRule="exact"/>
        <w:rPr>
          <w:sz w:val="20"/>
          <w:szCs w:val="20"/>
          <w:color w:val="auto"/>
        </w:rPr>
      </w:pPr>
    </w:p>
    <w:p>
      <w:pPr>
        <w:ind w:right="420" w:firstLine="987"/>
        <w:spacing w:after="0" w:line="312" w:lineRule="auto"/>
        <w:tabs>
          <w:tab w:leader="none" w:pos="130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Engagement</w:t>
      </w:r>
      <w:r>
        <w:rPr>
          <w:rFonts w:ascii="Times New Roman" w:cs="Times New Roman" w:eastAsia="Times New Roman" w:hAnsi="Times New Roman"/>
          <w:sz w:val="17"/>
          <w:szCs w:val="17"/>
          <w:color w:val="auto"/>
        </w:rPr>
        <w:t>. The Company hereby engages ZelnickMedia as its financial and management consultant, and ZelnickMedia hereby agrees to provide financial and management consulting services to the Company, all on the terms and subject to the conditions set forth below.</w:t>
      </w:r>
    </w:p>
    <w:p>
      <w:pPr>
        <w:spacing w:after="0" w:line="139" w:lineRule="exact"/>
        <w:rPr>
          <w:rFonts w:ascii="Times New Roman" w:cs="Times New Roman" w:eastAsia="Times New Roman" w:hAnsi="Times New Roman"/>
          <w:sz w:val="17"/>
          <w:szCs w:val="17"/>
          <w:color w:val="auto"/>
        </w:rPr>
      </w:pPr>
    </w:p>
    <w:p>
      <w:pPr>
        <w:ind w:right="120" w:firstLine="987"/>
        <w:spacing w:after="0" w:line="266" w:lineRule="auto"/>
        <w:tabs>
          <w:tab w:leader="none" w:pos="13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of ZelnickMedia</w:t>
      </w:r>
      <w:r>
        <w:rPr>
          <w:rFonts w:ascii="Times New Roman" w:cs="Times New Roman" w:eastAsia="Times New Roman" w:hAnsi="Times New Roman"/>
          <w:sz w:val="18"/>
          <w:szCs w:val="18"/>
          <w:color w:val="auto"/>
        </w:rPr>
        <w:t>. ZelnickMedia hereby agrees during the term of this engagement to consult with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management of the Company and its subsidiaries in such manner and on such business, financial and operational matters as may be reasonably requested from time to time by the Board, including but not limited to:</w:t>
      </w:r>
    </w:p>
    <w:p>
      <w:pPr>
        <w:spacing w:after="0" w:line="175" w:lineRule="exact"/>
        <w:rPr>
          <w:rFonts w:ascii="Times New Roman" w:cs="Times New Roman" w:eastAsia="Times New Roman" w:hAnsi="Times New Roman"/>
          <w:sz w:val="18"/>
          <w:szCs w:val="18"/>
          <w:color w:val="auto"/>
        </w:rPr>
      </w:pPr>
    </w:p>
    <w:p>
      <w:pPr>
        <w:ind w:right="160" w:firstLine="1428"/>
        <w:spacing w:after="0" w:line="282" w:lineRule="auto"/>
        <w:tabs>
          <w:tab w:leader="none" w:pos="17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supervise the operations of the Company and its subsidiaries in accordance with policies established by the Board and usual and customary standards of efficient operation and maintenance;</w:t>
      </w:r>
    </w:p>
    <w:p>
      <w:pPr>
        <w:spacing w:after="0" w:line="161"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the preparation of operating budgets and business plans;</w:t>
      </w:r>
    </w:p>
    <w:p>
      <w:pPr>
        <w:spacing w:after="0" w:line="225"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and assist the Company and its subsidiaries regarding their corporate and financial structure;</w:t>
      </w:r>
    </w:p>
    <w:p>
      <w:pPr>
        <w:sectPr>
          <w:pgSz w:w="11900" w:h="16838" w:orient="portrait"/>
          <w:cols w:equalWidth="0" w:num="1">
            <w:col w:w="11020"/>
          </w:cols>
          <w:pgMar w:left="440" w:top="117" w:right="439" w:bottom="1440" w:gutter="0" w:footer="0" w:header="0"/>
        </w:sectPr>
      </w:pPr>
    </w:p>
    <w:bookmarkStart w:id="14" w:name="page15"/>
    <w:bookmarkEnd w:id="14"/>
    <w:p>
      <w:pPr>
        <w:ind w:left="1860" w:hanging="432"/>
        <w:spacing w:after="0"/>
        <w:tabs>
          <w:tab w:leader="none" w:pos="1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advise and assist the Company and its subsidiaries in formulating long-term business strategies;</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 in recruiting senior management;</w:t>
      </w:r>
    </w:p>
    <w:p>
      <w:pPr>
        <w:spacing w:after="0" w:line="225"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and assist the Company in securing equity and/or debt financing and negotiating and structuring the terms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w:t>
      </w:r>
    </w:p>
    <w:p>
      <w:pPr>
        <w:spacing w:after="0" w:line="207" w:lineRule="exact"/>
        <w:rPr>
          <w:sz w:val="20"/>
          <w:szCs w:val="20"/>
          <w:color w:val="auto"/>
        </w:rPr>
      </w:pPr>
    </w:p>
    <w:p>
      <w:pPr>
        <w:ind w:left="1920" w:hanging="492"/>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 and its subsidiaries with mergers and acquisitions with, and of, third party entities;</w:t>
      </w:r>
    </w:p>
    <w:p>
      <w:pPr>
        <w:spacing w:after="0" w:line="225" w:lineRule="exact"/>
        <w:rPr>
          <w:rFonts w:ascii="Times New Roman" w:cs="Times New Roman" w:eastAsia="Times New Roman" w:hAnsi="Times New Roman"/>
          <w:sz w:val="18"/>
          <w:szCs w:val="18"/>
          <w:color w:val="auto"/>
        </w:rPr>
      </w:pPr>
    </w:p>
    <w:p>
      <w:pPr>
        <w:ind w:right="360" w:firstLine="1428"/>
        <w:spacing w:after="0" w:line="282" w:lineRule="auto"/>
        <w:tabs>
          <w:tab w:leader="none" w:pos="1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and assist the Company in evaluating potential sale or exit opportunities, structuring and negotiating a sale of the Company, or leveraged recapitalization;</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consulting services in connection with the business and operations of the Company as requested by the Board; and</w:t>
      </w:r>
    </w:p>
    <w:p>
      <w:pPr>
        <w:spacing w:after="0" w:line="225" w:lineRule="exact"/>
        <w:rPr>
          <w:rFonts w:ascii="Times New Roman" w:cs="Times New Roman" w:eastAsia="Times New Roman" w:hAnsi="Times New Roman"/>
          <w:sz w:val="18"/>
          <w:szCs w:val="18"/>
          <w:color w:val="auto"/>
        </w:rPr>
      </w:pPr>
    </w:p>
    <w:p>
      <w:pPr>
        <w:ind w:right="180" w:firstLine="1428"/>
        <w:spacing w:after="0" w:line="266" w:lineRule="auto"/>
        <w:tabs>
          <w:tab w:leader="none" w:pos="182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Board requests concerning, and perform any other management services incidental to, the foregoing, or any other management or advisory services reasonably requested by the Board from time to time and to which ZelnickMedia agrees (such agreement not to be unreasonably withheld, conditioned or delayed).</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28"/>
        <w:spacing w:after="0" w:line="261" w:lineRule="auto"/>
        <w:tabs>
          <w:tab w:leader="none" w:pos="178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ZelnickMedia shall provide and devote to the performance of this Agreement such employees, agents and representatives of ZelnickMedia, and for such time, as ZelnickMedia shall deem appropriate for the furnishing of the services required hereunder. Notwithstanding the generality of the foregoing, it is agreed that in the performance of its duties hereunder, subject to Section 3(ii) below, ZelnickMedia shall make available the following individuals to provide the described services:</w:t>
      </w:r>
    </w:p>
    <w:p>
      <w:pPr>
        <w:spacing w:after="0" w:line="179" w:lineRule="exact"/>
        <w:rPr>
          <w:rFonts w:ascii="Times New Roman" w:cs="Times New Roman" w:eastAsia="Times New Roman" w:hAnsi="Times New Roman"/>
          <w:sz w:val="18"/>
          <w:szCs w:val="18"/>
          <w:color w:val="auto"/>
        </w:rPr>
      </w:pPr>
    </w:p>
    <w:p>
      <w:pPr>
        <w:ind w:right="340" w:firstLine="1979"/>
        <w:spacing w:after="0" w:line="266" w:lineRule="auto"/>
        <w:tabs>
          <w:tab w:leader="none" w:pos="241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Strauss Zelnick shall serve as the Executive Chairman of the Board and Chief Executive Officer of the Company, and shall devote a sufficient amount of his business time to the performance of his duties during the term of this Agreement, consistent with past practice;</w:t>
      </w:r>
    </w:p>
    <w:p>
      <w:pPr>
        <w:spacing w:after="0" w:line="175" w:lineRule="exact"/>
        <w:rPr>
          <w:rFonts w:ascii="Times New Roman" w:cs="Times New Roman" w:eastAsia="Times New Roman" w:hAnsi="Times New Roman"/>
          <w:sz w:val="18"/>
          <w:szCs w:val="18"/>
          <w:color w:val="auto"/>
        </w:rPr>
      </w:pPr>
    </w:p>
    <w:p>
      <w:pPr>
        <w:ind w:right="80" w:firstLine="1979"/>
        <w:spacing w:after="0" w:line="312" w:lineRule="auto"/>
        <w:tabs>
          <w:tab w:leader="none" w:pos="2403"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Karl Slatoff shall serve as President of the Company pursuant to the employment agreement by and between the Company and Mr. Slatoff, dated as of February 14, 2008, and as amended from time to time by mutual agreement of the Company and Mr. Slatoff; and</w:t>
      </w:r>
    </w:p>
    <w:p>
      <w:pPr>
        <w:spacing w:after="0" w:line="139" w:lineRule="exact"/>
        <w:rPr>
          <w:rFonts w:ascii="Times New Roman" w:cs="Times New Roman" w:eastAsia="Times New Roman" w:hAnsi="Times New Roman"/>
          <w:sz w:val="17"/>
          <w:szCs w:val="17"/>
          <w:color w:val="auto"/>
        </w:rPr>
      </w:pPr>
    </w:p>
    <w:p>
      <w:pPr>
        <w:ind w:right="320" w:firstLine="1979"/>
        <w:spacing w:after="0" w:line="282" w:lineRule="auto"/>
        <w:tabs>
          <w:tab w:leader="none" w:pos="240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ZelnickMedia personnel, as appropriate, shall provide services and serve as consultants to the Company on a project-by-project, as-needed basis.</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0"/>
          </w:cols>
          <w:pgMar w:left="440" w:top="270" w:right="499" w:bottom="1440" w:gutter="0" w:footer="0" w:header="0"/>
        </w:sectPr>
      </w:pPr>
    </w:p>
    <w:bookmarkStart w:id="15" w:name="page16"/>
    <w:bookmarkEnd w:id="15"/>
    <w:p>
      <w:pPr>
        <w:ind w:right="20" w:firstLine="1428"/>
        <w:spacing w:after="0" w:line="252" w:lineRule="auto"/>
        <w:tabs>
          <w:tab w:leader="none" w:pos="18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Mr. Zelnick, Mr. Slatoff or any other employee of ZelnickMedia acting in an executive capacity for the Company is unable or unavailable to serve in the applicable capacities set forth in Section 3(i) above, ZelnickMedia shall provide a qualified individual to serve in such capacity, who must be reasonably satisfactory to the Board. If ZelnickMedia does not provide a qualified replacement reasonably acceptable to the Board within a reasonable period of time, the Company may fill such position with a person not affiliated with ZelnickMedia and deduct the costs of such person’s compensation (including cash and equity compensation) from ZelnickMedia’s compensation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costs shall not be deducted from ZelnickMedia’s compensation hereunder if Mr. Zelnick, Mr. Slatoff or such other employee of ZelnickMedia, as applicable, is terminated by the Company without Cause or resigns for Good Reason (in the case of Mr. Zelnick, each as defined in Section 8 of this Agreement, or, in the case of Mr. Slatoff or any other employee of ZelnickMedia, each as defined in such person’s employment or consulting agreement with the Company);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in no event shall any termination by the Company without Cause or resignation by an individual for Good Reason caused by any action or inaction taken not in good faith by ZelnickMedia, Mr. Zelnick,</w:t>
      </w:r>
    </w:p>
    <w:p>
      <w:pPr>
        <w:spacing w:after="0" w:line="5"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Slatoff or any other individual appointed by ZelnickMedia pursuant to Section 3(i) for the purpose of giving rise to such a termination by the Company without Cause or a resignation by an individual for Good Reason, be deemed a termination of such individual’s employment by the Company without Cause or a resignation by such individual for Good Reason, as applicable, in either case for purposes of this Section 3(ii), and (B) no more than 60% of the cash and equity compensation payable to ZelnickMedia hereunder shall be deducted if the Company replaces Mr. Zelnick in accordance with this Section 3(ii) and no more than 40% of the cash and equity compensation payable to ZelnickMedia hereunder shall be deducted if the Company replaces Mr. Slatoff in accordance with this Section 3(ii).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shall reasonably and in good faith determine the value of the equity awarded to such replacement person and the appropriate deductions from the cash and equity compensation payable to ZelnickMedia (including the Management Fee and Annual Bonus and the equity awards pursuant to Section 6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provided in Section 8 or Section 24 hereof, in no event shall ZelnickMedia be required to forfeit any cash compensation paid to ZelnickMedia or any vested equity awards, whether granted pursuant to Section 6 below or otherwise.</w:t>
      </w:r>
    </w:p>
    <w:p>
      <w:pPr>
        <w:spacing w:after="0" w:line="192" w:lineRule="exact"/>
        <w:rPr>
          <w:rFonts w:ascii="Times New Roman" w:cs="Times New Roman" w:eastAsia="Times New Roman" w:hAnsi="Times New Roman"/>
          <w:sz w:val="18"/>
          <w:szCs w:val="18"/>
          <w:color w:val="auto"/>
        </w:rPr>
      </w:pPr>
    </w:p>
    <w:p>
      <w:pPr>
        <w:ind w:right="120" w:firstLine="987"/>
        <w:spacing w:after="0" w:line="261" w:lineRule="auto"/>
        <w:tabs>
          <w:tab w:leader="none" w:pos="13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Fee</w:t>
      </w:r>
      <w:r>
        <w:rPr>
          <w:rFonts w:ascii="Times New Roman" w:cs="Times New Roman" w:eastAsia="Times New Roman" w:hAnsi="Times New Roman"/>
          <w:sz w:val="18"/>
          <w:szCs w:val="18"/>
          <w:color w:val="auto"/>
        </w:rPr>
        <w:t>. In consideration for the services to be provided by ZelnickMedia hereunder, the Company shall, commencing on the Effective Date, pay to ZelnickMedia a management fee of $3,300,000 per annum during the term of this Agreement (the “</w:t>
      </w:r>
      <w:r>
        <w:rPr>
          <w:rFonts w:ascii="Times New Roman" w:cs="Times New Roman" w:eastAsia="Times New Roman" w:hAnsi="Times New Roman"/>
          <w:sz w:val="18"/>
          <w:szCs w:val="18"/>
          <w:u w:val="single" w:color="auto"/>
          <w:color w:val="auto"/>
        </w:rPr>
        <w:t>Management Fee</w:t>
      </w:r>
      <w:r>
        <w:rPr>
          <w:rFonts w:ascii="Times New Roman" w:cs="Times New Roman" w:eastAsia="Times New Roman" w:hAnsi="Times New Roman"/>
          <w:sz w:val="18"/>
          <w:szCs w:val="18"/>
          <w:color w:val="auto"/>
        </w:rPr>
        <w:t>”) payable on the first day of each month during the term of this Agreement in equal monthly installments of $275,000.00 in immediately available funds. The Management Fee shall not be decreased during the term of this Agreement.</w:t>
      </w:r>
    </w:p>
    <w:p>
      <w:pPr>
        <w:spacing w:after="0" w:line="179" w:lineRule="exact"/>
        <w:rPr>
          <w:rFonts w:ascii="Times New Roman" w:cs="Times New Roman" w:eastAsia="Times New Roman" w:hAnsi="Times New Roman"/>
          <w:sz w:val="18"/>
          <w:szCs w:val="18"/>
          <w:color w:val="auto"/>
        </w:rPr>
      </w:pPr>
    </w:p>
    <w:p>
      <w:pPr>
        <w:ind w:right="60" w:firstLine="987"/>
        <w:spacing w:after="0" w:line="253" w:lineRule="auto"/>
        <w:tabs>
          <w:tab w:leader="none" w:pos="13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addition to the Management Fee, ZelnickMedia shall have an annual bonus opportunity subject to performance goals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for each of the fiscal years of the Company ending March 31, 2023 (“</w:t>
      </w:r>
      <w:r>
        <w:rPr>
          <w:rFonts w:ascii="Times New Roman" w:cs="Times New Roman" w:eastAsia="Times New Roman" w:hAnsi="Times New Roman"/>
          <w:sz w:val="18"/>
          <w:szCs w:val="18"/>
          <w:u w:val="single" w:color="auto"/>
          <w:color w:val="auto"/>
        </w:rPr>
        <w:t>Fiscal 2023</w:t>
      </w:r>
      <w:r>
        <w:rPr>
          <w:rFonts w:ascii="Times New Roman" w:cs="Times New Roman" w:eastAsia="Times New Roman" w:hAnsi="Times New Roman"/>
          <w:sz w:val="18"/>
          <w:szCs w:val="18"/>
          <w:color w:val="auto"/>
        </w:rPr>
        <w:t>”), March 31, 2024, March 31, 2025, March 31, 2026, March 31, 2027, March 31, 2028 and March 31, 2029 (each, an “</w:t>
      </w:r>
      <w:r>
        <w:rPr>
          <w:rFonts w:ascii="Times New Roman" w:cs="Times New Roman" w:eastAsia="Times New Roman" w:hAnsi="Times New Roman"/>
          <w:sz w:val="18"/>
          <w:szCs w:val="18"/>
          <w:u w:val="single" w:color="auto"/>
          <w:color w:val="auto"/>
        </w:rPr>
        <w:t>Applicable Fiscal Year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Applicable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Years</w:t>
      </w:r>
      <w:r>
        <w:rPr>
          <w:rFonts w:ascii="Times New Roman" w:cs="Times New Roman" w:eastAsia="Times New Roman" w:hAnsi="Times New Roman"/>
          <w:sz w:val="18"/>
          <w:szCs w:val="18"/>
          <w:color w:val="auto"/>
        </w:rPr>
        <w:t>”). The target annual bonus opportunity for each Applicable Fiscal Year (other than for the 2022 Portion of Fiscal 2023 (as defined below)) has been set at 200% of the Management Fee, or $6,600,000 per annum (the “</w:t>
      </w:r>
      <w:r>
        <w:rPr>
          <w:rFonts w:ascii="Times New Roman" w:cs="Times New Roman" w:eastAsia="Times New Roman" w:hAnsi="Times New Roman"/>
          <w:sz w:val="18"/>
          <w:szCs w:val="18"/>
          <w:u w:val="single" w:color="auto"/>
          <w:color w:val="auto"/>
        </w:rPr>
        <w:t>Target Bonus Amount</w:t>
      </w:r>
      <w:r>
        <w:rPr>
          <w:rFonts w:ascii="Times New Roman" w:cs="Times New Roman" w:eastAsia="Times New Roman" w:hAnsi="Times New Roman"/>
          <w:sz w:val="18"/>
          <w:szCs w:val="18"/>
          <w:color w:val="auto"/>
        </w:rPr>
        <w:t>”). With respect to Fiscal 2023, the Annual Bonus for the period from April 1, 2022 to and including the Effective Date (the “</w:t>
      </w:r>
      <w:r>
        <w:rPr>
          <w:rFonts w:ascii="Times New Roman" w:cs="Times New Roman" w:eastAsia="Times New Roman" w:hAnsi="Times New Roman"/>
          <w:sz w:val="18"/>
          <w:szCs w:val="18"/>
          <w:u w:val="single" w:color="auto"/>
          <w:color w:val="auto"/>
        </w:rPr>
        <w:t>2022 Portion of Fiscal 2023</w:t>
      </w:r>
      <w:r>
        <w:rPr>
          <w:rFonts w:ascii="Times New Roman" w:cs="Times New Roman" w:eastAsia="Times New Roman" w:hAnsi="Times New Roman"/>
          <w:sz w:val="18"/>
          <w:szCs w:val="18"/>
          <w:color w:val="auto"/>
        </w:rPr>
        <w:t>”) will be determined in accordance with the terms and conditions of Section 5 of the 2017 Agreement and the Annual Bonus for the period following the Effective Date to March 31, 2023 will be determined in accordance with this Section 5, in each case, based on Fiscal 2023 performance. The actual amount of the Annual Bonus shall be determined reasonably and in good faith by the Committee with respect to each Applicable Fiscal Year subject to the terms set forth herein, and shall be paid on the same date that the Company pays its officers and employees their annual bonus for the Applicable Fiscal Year, but in all events in the fiscal year immediately following the Applicable Fiscal Year to which the Annual Bonus relates and within seventy-five (75) days following the end of the Applicable Fiscal Year, as follows:</w:t>
      </w:r>
    </w:p>
    <w:p>
      <w:pPr>
        <w:spacing w:after="0" w:line="189" w:lineRule="exact"/>
        <w:rPr>
          <w:rFonts w:ascii="Times New Roman" w:cs="Times New Roman" w:eastAsia="Times New Roman" w:hAnsi="Times New Roman"/>
          <w:sz w:val="18"/>
          <w:szCs w:val="18"/>
          <w:color w:val="auto"/>
        </w:rPr>
      </w:pPr>
    </w:p>
    <w:p>
      <w:pPr>
        <w:ind w:right="160" w:firstLine="1428"/>
        <w:spacing w:after="0" w:line="282" w:lineRule="auto"/>
        <w:tabs>
          <w:tab w:leader="none" w:pos="178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results in an Applicable Fiscal Year (or portion thereof) are less than 80% of the Target (as defined below), the Annual Bonus shall be zero.</w:t>
      </w:r>
    </w:p>
    <w:p>
      <w:pPr>
        <w:spacing w:after="0" w:line="161" w:lineRule="exact"/>
        <w:rPr>
          <w:rFonts w:ascii="Times New Roman" w:cs="Times New Roman" w:eastAsia="Times New Roman" w:hAnsi="Times New Roman"/>
          <w:sz w:val="18"/>
          <w:szCs w:val="18"/>
          <w:color w:val="auto"/>
        </w:rPr>
      </w:pPr>
    </w:p>
    <w:p>
      <w:pPr>
        <w:ind w:right="220" w:firstLine="1428"/>
        <w:spacing w:after="0" w:line="266" w:lineRule="auto"/>
        <w:tabs>
          <w:tab w:leader="none" w:pos="183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results in an Applicable Fiscal Year (or portion thereof) are equal to or greater than 80% of the Target but less than 100% of the Target, the Annual Bonus shall be between zero and the Target Bonus Amount, pro-rated on a straight-line basis between such amounts based upon the actual percentage of the Target achieved.</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0"/>
          </w:cols>
          <w:pgMar w:left="440" w:top="270" w:right="459" w:bottom="1440" w:gutter="0" w:footer="0" w:header="0"/>
        </w:sectPr>
      </w:pPr>
    </w:p>
    <w:bookmarkStart w:id="16" w:name="page17"/>
    <w:bookmarkEnd w:id="16"/>
    <w:p>
      <w:pPr>
        <w:jc w:val="both"/>
        <w:ind w:right="40" w:firstLine="1428"/>
        <w:spacing w:after="0" w:line="266" w:lineRule="auto"/>
        <w:tabs>
          <w:tab w:leader="none" w:pos="18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actual results in an Applicable Fiscal Year (or portion thereof) are equal to or greater than 100% of the Target but less than 120% of the Target, the Annual Bonus shall be between the Target Bonus Amount and $9,428,572 (the “</w:t>
      </w:r>
      <w:r>
        <w:rPr>
          <w:rFonts w:ascii="Times New Roman" w:cs="Times New Roman" w:eastAsia="Times New Roman" w:hAnsi="Times New Roman"/>
          <w:sz w:val="18"/>
          <w:szCs w:val="18"/>
          <w:u w:val="single" w:color="auto"/>
          <w:color w:val="auto"/>
        </w:rPr>
        <w:t>120% Bonus Amount</w:t>
      </w:r>
      <w:r>
        <w:rPr>
          <w:rFonts w:ascii="Times New Roman" w:cs="Times New Roman" w:eastAsia="Times New Roman" w:hAnsi="Times New Roman"/>
          <w:sz w:val="18"/>
          <w:szCs w:val="18"/>
          <w:color w:val="auto"/>
        </w:rPr>
        <w:t>”), prorated on a straight-line basis between the Target Bonus Amount and the 120% Bonus Amount based upon the actual percentage of the Target achieved.</w:t>
      </w:r>
    </w:p>
    <w:p>
      <w:pPr>
        <w:spacing w:after="0" w:line="175" w:lineRule="exact"/>
        <w:rPr>
          <w:rFonts w:ascii="Times New Roman" w:cs="Times New Roman" w:eastAsia="Times New Roman" w:hAnsi="Times New Roman"/>
          <w:sz w:val="18"/>
          <w:szCs w:val="18"/>
          <w:color w:val="auto"/>
        </w:rPr>
      </w:pPr>
    </w:p>
    <w:p>
      <w:pPr>
        <w:jc w:val="both"/>
        <w:ind w:firstLine="1428"/>
        <w:spacing w:after="0" w:line="289" w:lineRule="auto"/>
        <w:tabs>
          <w:tab w:leader="none" w:pos="187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actual results in an Applicable Fiscal Year (or portion thereof) are equal to or greater than 120% of the Target but less than 150% of the Target, the Annual Bonus shall be between the 120% Bonus Amount and $13,200,000 (the “</w:t>
      </w:r>
      <w:r>
        <w:rPr>
          <w:rFonts w:ascii="Times New Roman" w:cs="Times New Roman" w:eastAsia="Times New Roman" w:hAnsi="Times New Roman"/>
          <w:sz w:val="17"/>
          <w:szCs w:val="17"/>
          <w:u w:val="single" w:color="auto"/>
          <w:color w:val="auto"/>
        </w:rPr>
        <w:t>Maximum Bonus Amount</w:t>
      </w:r>
      <w:r>
        <w:rPr>
          <w:rFonts w:ascii="Times New Roman" w:cs="Times New Roman" w:eastAsia="Times New Roman" w:hAnsi="Times New Roman"/>
          <w:sz w:val="17"/>
          <w:szCs w:val="17"/>
          <w:color w:val="auto"/>
        </w:rPr>
        <w:t>”), prorated on a straight-line basis between 120% Bonus Amount and the Maximum Bonus Amount based upon the actual percentage of the Target achieved.</w:t>
      </w:r>
    </w:p>
    <w:p>
      <w:pPr>
        <w:spacing w:after="0" w:line="157" w:lineRule="exact"/>
        <w:rPr>
          <w:rFonts w:ascii="Times New Roman" w:cs="Times New Roman" w:eastAsia="Times New Roman" w:hAnsi="Times New Roman"/>
          <w:sz w:val="17"/>
          <w:szCs w:val="17"/>
          <w:color w:val="auto"/>
        </w:rPr>
      </w:pPr>
    </w:p>
    <w:p>
      <w:pPr>
        <w:ind w:right="80" w:firstLine="1428"/>
        <w:spacing w:after="0" w:line="282" w:lineRule="auto"/>
        <w:tabs>
          <w:tab w:leader="none" w:pos="18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results in an Applicable Fiscal Year (or portion thereof) are equal to or greater than 150% of the Target, the Annual Bonus shall be the Maximum Bonus Amount.</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illustration, the following table sets forth the amount of Annual Bonus that would be payable to ZelnickMedia for each 10% increment of achievement of the Target:</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Percentage of Target Obtained</w:t>
            </w:r>
          </w:p>
        </w:tc>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 of Annual Bonus</w:t>
            </w: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$3,300,000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$6,600,000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$8,014,286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w:t>
            </w:r>
          </w:p>
        </w:tc>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$9,428,572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130%</w:t>
            </w:r>
          </w:p>
        </w:tc>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$10,685,714</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w:t>
            </w:r>
          </w:p>
        </w:tc>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$11,942.858</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150%</w:t>
            </w:r>
          </w:p>
        </w:tc>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$13,200,000</w:t>
            </w:r>
          </w:p>
        </w:tc>
      </w:tr>
    </w:tbl>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shall mean budgeted adjusted EBITDA of the Company (or other measurement of financial, ESG or other similar performance criteria reasonably determined by the members of the Board (excluding any member of the Board who is a shareholder, affiliate, member and/or partner of ZelnickMedia), on the one hand, and ZelnickMedia, on the other hand, with respect to an Applicable Fiscal Year), determined within 30 days of the beginning of that Applicable Fiscal Year by mutual agreement of the Company and ZelnickMedia, each acting reasonably and in good faith, and measured without giving effect to any payments under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0"/>
          </w:cols>
          <w:pgMar w:left="440" w:top="270" w:right="499" w:bottom="1440" w:gutter="0" w:footer="0" w:header="0"/>
        </w:sectPr>
      </w:pPr>
    </w:p>
    <w:bookmarkStart w:id="17" w:name="page18"/>
    <w:bookmarkEnd w:id="1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if budgeted adjusted EBITDA is used as the Target, the term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shall be calculated consistent with the Company’s past practices and on the same basis as utilized by the Company for other employee compensation purposes; and actual adjusted EBITDA with respect to each Applicable Fiscal Year shall be calculated by the Company acting reasonably and in good faith, after meaningful consultation with ZelnickMedia, in the same manner as the budgeted adjusted EBITDA for such Applicable Fiscal Year.</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Committee shall, acting reasonably and in good faith, after meaningful consultation with ZelnickMedia, make such adjustments to the calculation of actual or budgeted adjusted EBITDA as it deems equitable in the event the circumstances upon which budgeted adjusted EBITDA is initially calculated change during any Applicable Fiscal Year. If requested by the Company, ZelnickMedia shall discuss with the Company in good faith whether any adjustments are necessary for the Annual Bonus and any equity awards granted under the Grant Agreements to achieve beneficial tax treatment for the parties.</w:t>
      </w:r>
    </w:p>
    <w:p>
      <w:pPr>
        <w:spacing w:after="0" w:line="183" w:lineRule="exact"/>
        <w:rPr>
          <w:sz w:val="20"/>
          <w:szCs w:val="20"/>
          <w:color w:val="auto"/>
        </w:rPr>
      </w:pPr>
    </w:p>
    <w:p>
      <w:pPr>
        <w:ind w:left="1300" w:hanging="313"/>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Equity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428"/>
        <w:spacing w:after="0" w:line="251" w:lineRule="auto"/>
        <w:tabs>
          <w:tab w:leader="none" w:pos="17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xml:space="preserve">. On the Annual Grant Date (as defined below), ZelnickMedia (or upon three (3) days prior written notice of ZelnickMedia to the Company, an affiliate or partner of ZelnickMedia that agrees to be bound by the provisions of this Section 6), shall be entitled to receive (a) that number of time-based restricted stock units of the Company as is determined by dividing $ 4,618,519 by the Annual Grant Price (as defined below) and that number of performance-based restricted stock units of the Company as is determined by dividing $ 9,237,037 by the Annual Grant Price, pursuant to and in accordance with the terms and conditions of the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Transition Period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 (2 Year Cliff Vest)</w:t>
      </w:r>
      <w:r>
        <w:rPr>
          <w:rFonts w:ascii="Times New Roman" w:cs="Times New Roman" w:eastAsia="Times New Roman" w:hAnsi="Times New Roman"/>
          <w:sz w:val="18"/>
          <w:szCs w:val="18"/>
          <w:color w:val="auto"/>
        </w:rPr>
        <w:t xml:space="preserve">”), (b) that number of time-based restricted stock units of the Company as is determined by dividing $ 5,055,556 by the Annual Grant Price and that number of performance-based restricted stock units of the Company as is determined by dividing $ 10,111,111 by the Annual Grant Price, pursuant to and in accordance with the terms and conditions of the agreement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 Agreement (3 Year Cliff Vest)</w:t>
      </w:r>
      <w:r>
        <w:rPr>
          <w:rFonts w:ascii="Times New Roman" w:cs="Times New Roman" w:eastAsia="Times New Roman" w:hAnsi="Times New Roman"/>
          <w:sz w:val="18"/>
          <w:szCs w:val="18"/>
          <w:color w:val="auto"/>
        </w:rPr>
        <w:t xml:space="preserve">”), and (c) that number of time-based restricted stock units of the Company as is determined by dividing $6,866,667 by the Annual Grant Price and that number of performance-based restricted stock units of the Company as is determined by dividing $13,733,333 by the Annual Grant Price, pursuant to and in accordance with the terms and conditions of the agreement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New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together with the Transition Period Grant Agreement (2 Year Cliff Vest) and the Transition Period Grant Agreement (3 Year Cliff Vest), the “</w:t>
      </w:r>
      <w:r>
        <w:rPr>
          <w:rFonts w:ascii="Times New Roman" w:cs="Times New Roman" w:eastAsia="Times New Roman" w:hAnsi="Times New Roman"/>
          <w:sz w:val="18"/>
          <w:szCs w:val="18"/>
          <w:u w:val="single" w:color="auto"/>
          <w:color w:val="auto"/>
        </w:rPr>
        <w:t>2022 Grant Agreements</w:t>
      </w:r>
      <w:r>
        <w:rPr>
          <w:rFonts w:ascii="Times New Roman" w:cs="Times New Roman" w:eastAsia="Times New Roman" w:hAnsi="Times New Roman"/>
          <w:sz w:val="18"/>
          <w:szCs w:val="18"/>
          <w:color w:val="auto"/>
        </w:rPr>
        <w:t>”). The equity awards to be granted pursuant to the foregoing clauses (a), (b) and (c) are referred to herein as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The 2022 Grant Agreements, together with (A) any grant agreements entered into with respect to additional grants by the Company in accordance with this Section 6, and (B) the grant agreements relating to the restricted stock units described in Section 6 of the 2017 Agreement, shall be referred to collectively as the “</w:t>
      </w:r>
      <w:r>
        <w:rPr>
          <w:rFonts w:ascii="Times New Roman" w:cs="Times New Roman" w:eastAsia="Times New Roman" w:hAnsi="Times New Roman"/>
          <w:sz w:val="18"/>
          <w:szCs w:val="18"/>
          <w:u w:val="single" w:color="auto"/>
          <w:color w:val="auto"/>
        </w:rPr>
        <w:t>Grant Agreements</w:t>
      </w:r>
      <w:r>
        <w:rPr>
          <w:rFonts w:ascii="Times New Roman" w:cs="Times New Roman" w:eastAsia="Times New Roman" w:hAnsi="Times New Roman"/>
          <w:sz w:val="18"/>
          <w:szCs w:val="18"/>
          <w:color w:val="auto"/>
        </w:rPr>
        <w:t>.” Following the grants on the Annual Grant Date contemplated by this Section 6(i), additional equity awards may be granted, in amounts determined at the discretion of the Committee in accordance with Section 3 hereof, to ZelnickMedia (or an affiliate or partner thereof in accordance with this Section 6) annually on the same date that the Company makes annual equity grants to its executive officers that are not designated by ZelnickMedia. For purposes hereof, “</w:t>
      </w:r>
      <w:r>
        <w:rPr>
          <w:rFonts w:ascii="Times New Roman" w:cs="Times New Roman" w:eastAsia="Times New Roman" w:hAnsi="Times New Roman"/>
          <w:sz w:val="18"/>
          <w:szCs w:val="18"/>
          <w:u w:val="single" w:color="auto"/>
          <w:color w:val="auto"/>
        </w:rPr>
        <w:t>Annual Grant Date</w:t>
      </w:r>
      <w:r>
        <w:rPr>
          <w:rFonts w:ascii="Times New Roman" w:cs="Times New Roman" w:eastAsia="Times New Roman" w:hAnsi="Times New Roman"/>
          <w:sz w:val="18"/>
          <w:szCs w:val="18"/>
          <w:color w:val="auto"/>
        </w:rPr>
        <w:t>” shall mean the date that the Company makes its fiscal 2023 annual grant of restricted stock units to its officers and employees but in no event shall such date be later than June 30, 2022 and “</w:t>
      </w:r>
      <w:r>
        <w:rPr>
          <w:rFonts w:ascii="Times New Roman" w:cs="Times New Roman" w:eastAsia="Times New Roman" w:hAnsi="Times New Roman"/>
          <w:sz w:val="18"/>
          <w:szCs w:val="18"/>
          <w:u w:val="single" w:color="auto"/>
          <w:color w:val="auto"/>
        </w:rPr>
        <w:t>Annual Grant Price</w:t>
      </w:r>
      <w:r>
        <w:rPr>
          <w:rFonts w:ascii="Times New Roman" w:cs="Times New Roman" w:eastAsia="Times New Roman" w:hAnsi="Times New Roman"/>
          <w:sz w:val="18"/>
          <w:szCs w:val="18"/>
          <w:color w:val="auto"/>
        </w:rPr>
        <w:t>” shall mean the price per share of Company common stock used to calculate the number of restricted stock units granted to the Company’s officers and employees on the Annual Grant Date (and if the Company does not make the fiscal 2023 annual grant of restricted stock units to the Company’s officers and employees prior to June 30, 2022, then it shall mean the average of the closing prices of the Company’s common stock for each trading day during the 10 trading day period immediately prior June 30, 2022).</w:t>
      </w:r>
    </w:p>
    <w:p>
      <w:pPr>
        <w:spacing w:after="0" w:line="204" w:lineRule="exact"/>
        <w:rPr>
          <w:rFonts w:ascii="Times New Roman" w:cs="Times New Roman" w:eastAsia="Times New Roman" w:hAnsi="Times New Roman"/>
          <w:sz w:val="18"/>
          <w:szCs w:val="18"/>
          <w:color w:val="auto"/>
        </w:rPr>
      </w:pPr>
    </w:p>
    <w:p>
      <w:pPr>
        <w:ind w:firstLine="1428"/>
        <w:spacing w:after="0" w:line="253" w:lineRule="auto"/>
        <w:tabs>
          <w:tab w:leader="none" w:pos="18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 Requirement – 6X Management Fee</w:t>
      </w:r>
      <w:r>
        <w:rPr>
          <w:rFonts w:ascii="Times New Roman" w:cs="Times New Roman" w:eastAsia="Times New Roman" w:hAnsi="Times New Roman"/>
          <w:sz w:val="18"/>
          <w:szCs w:val="18"/>
          <w:color w:val="auto"/>
        </w:rPr>
        <w:t>. Until the earlier of (A) March 31, 2029, (B) a Change in Control (as defined below) or (C) the termination of this Agreement pursuant to Section 8 below, ZelnickMedia shall not, and shall cause each Subject Person (as defined below) to agree in writing not to, sell or otherwise dispose of (other than, upon not less than three (3) days’ prior written notice to the Company, to a Subject Person that agrees to be bound by the provisions of this Section 6) any shares of the Company’s common stock if, after giving effect to such proposed sale or other disposition, the shares of Company common stock (including restricted stock and restricted stock units, but excluding any unvested restricted stock or restricted stock units that remain subject to performance-based vesting) owned by ZelnickMedia and each Subject Person in the aggregate (collectively,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xml:space="preserve">”), as of the trading day immediately preceding the date of the proposed sale or disposition, would have a Market Value (as defined below) less than six times (6X) the Management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right of ZelnickMedia and/or the Subject Persons to sell or otherwise dispose of that number of shares of common stock of the Company necessary to satisfy any taxes imposed on ZelnickMedia or such Subject Person as a result of the exercise of options, vesting of restricted stock or restricted stock units, or in connection with the transfer by ZelnickMedia to a Subject Person of any Applicable Shares in accordance with this paragraph.</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0"/>
          </w:cols>
          <w:pgMar w:left="440" w:top="270" w:right="4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(A) the term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shall mean shareholders, partners, members, employees and other affiliates of ZelnickMedia who hold any Applicable Shares, including any person to whom any Applicable Shares were transferred in accordance with this Section 6(ii) and (B) “</w:t>
      </w:r>
      <w:r>
        <w:rPr>
          <w:rFonts w:ascii="Times New Roman" w:cs="Times New Roman" w:eastAsia="Times New Roman" w:hAnsi="Times New Roman"/>
          <w:sz w:val="18"/>
          <w:szCs w:val="18"/>
          <w:u w:val="single" w:color="auto"/>
          <w:color w:val="auto"/>
        </w:rPr>
        <w:t>Market Value</w:t>
      </w:r>
      <w:r>
        <w:rPr>
          <w:rFonts w:ascii="Times New Roman" w:cs="Times New Roman" w:eastAsia="Times New Roman" w:hAnsi="Times New Roman"/>
          <w:sz w:val="18"/>
          <w:szCs w:val="18"/>
          <w:color w:val="auto"/>
        </w:rPr>
        <w:t>” of a number of shares of the Company’s common stock shall equal the number of shares of common stock multiplied by the average of the closing prices of the Company’s common stock for each trading day during the 10 trading day period ending on the day as of which Market Value is being determined (which, in the case of a sale or other disposition, shall be the trading day immediately preceding the date of such sale or other disposition).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40"/>
          </w:cols>
          <w:pgMar w:left="440" w:top="270" w:right="519" w:bottom="1440" w:gutter="0" w:footer="0" w:header="0"/>
        </w:sectPr>
      </w:pPr>
    </w:p>
    <w:bookmarkStart w:id="19" w:name="page20"/>
    <w:bookmarkEnd w:id="19"/>
    <w:p>
      <w:pPr>
        <w:ind w:left="4" w:right="180" w:firstLine="1428"/>
        <w:spacing w:after="0" w:line="261" w:lineRule="auto"/>
        <w:tabs>
          <w:tab w:leader="none" w:pos="188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Trading Policy</w:t>
      </w:r>
      <w:r>
        <w:rPr>
          <w:rFonts w:ascii="Times New Roman" w:cs="Times New Roman" w:eastAsia="Times New Roman" w:hAnsi="Times New Roman"/>
          <w:sz w:val="18"/>
          <w:szCs w:val="18"/>
          <w:color w:val="auto"/>
        </w:rPr>
        <w:t>. ZelnickMedia hereby acknowledges the Company’s “Securities Trading Policy” (as in effect from time to time, the “</w:t>
      </w:r>
      <w:r>
        <w:rPr>
          <w:rFonts w:ascii="Times New Roman" w:cs="Times New Roman" w:eastAsia="Times New Roman" w:hAnsi="Times New Roman"/>
          <w:sz w:val="18"/>
          <w:szCs w:val="18"/>
          <w:u w:val="single" w:color="auto"/>
          <w:color w:val="auto"/>
        </w:rPr>
        <w:t>Trading Policy</w:t>
      </w:r>
      <w:r>
        <w:rPr>
          <w:rFonts w:ascii="Times New Roman" w:cs="Times New Roman" w:eastAsia="Times New Roman" w:hAnsi="Times New Roman"/>
          <w:sz w:val="18"/>
          <w:szCs w:val="18"/>
          <w:color w:val="auto"/>
        </w:rPr>
        <w:t>”) and shall, and shall cause its Subject Persons who own Applicable Shares, and shall use commercially reasonable efforts to cause its employees (including by making compliance a condition to the employees’ continued employment), to comply at all times with the Trading Policy as if such Persons (as defined below) were executive officers of the Company under the terms of the Trading Policy.</w:t>
      </w:r>
    </w:p>
    <w:p>
      <w:pPr>
        <w:spacing w:after="0" w:line="179" w:lineRule="exact"/>
        <w:rPr>
          <w:rFonts w:ascii="Times New Roman" w:cs="Times New Roman" w:eastAsia="Times New Roman" w:hAnsi="Times New Roman"/>
          <w:sz w:val="18"/>
          <w:szCs w:val="18"/>
          <w:color w:val="auto"/>
        </w:rPr>
      </w:pPr>
    </w:p>
    <w:p>
      <w:pPr>
        <w:ind w:left="4" w:firstLine="1428"/>
        <w:spacing w:after="0" w:line="255" w:lineRule="auto"/>
        <w:tabs>
          <w:tab w:leader="none" w:pos="187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Compensation</w:t>
      </w:r>
      <w:r>
        <w:rPr>
          <w:rFonts w:ascii="Times New Roman" w:cs="Times New Roman" w:eastAsia="Times New Roman" w:hAnsi="Times New Roman"/>
          <w:sz w:val="18"/>
          <w:szCs w:val="18"/>
          <w:color w:val="auto"/>
        </w:rPr>
        <w:t>. In order to ensure that the persons providing services under this Agreement are properly incentivized, ZelnickMedia covenants and agrees that the aggregate compensation payable to ZelnickMedia or any person providing services on its behalf hereunder (whether in the form of Management Fee, Annual Bonus or Equity Awards) shall only be paid, payable or otherwise conveyed (directly or indirectly), whether by the Company, ZelnickMedia or otherwise, such that (A) no more than 60% of such aggregate compensation shall be received by or conveyed to Mr. Zelnick (or such other employee of ZelnickMedia that serves as Executive Chairman and Chief Executive Officer of the Company in accordance with Section 3(ii)) and (B) no more than 40% of such aggregate compensation shall be received by or conveyed to Mr. Slatoff (or such other employee of ZelnickMedia that serves as President of the Company in accordance with Section 3(ii)).</w:t>
      </w:r>
    </w:p>
    <w:p>
      <w:pPr>
        <w:spacing w:after="0" w:line="188" w:lineRule="exact"/>
        <w:rPr>
          <w:rFonts w:ascii="Times New Roman" w:cs="Times New Roman" w:eastAsia="Times New Roman" w:hAnsi="Times New Roman"/>
          <w:sz w:val="18"/>
          <w:szCs w:val="18"/>
          <w:color w:val="auto"/>
        </w:rPr>
      </w:pPr>
    </w:p>
    <w:p>
      <w:pPr>
        <w:ind w:left="4" w:right="180" w:firstLine="987"/>
        <w:spacing w:after="0" w:line="255" w:lineRule="auto"/>
        <w:tabs>
          <w:tab w:leader="none" w:pos="13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(i) promptly reimburse ZelnickMedia for all reasonable out-of-pocket fees and expenses as have been or may be incurred (before or after the date of this Agreement) by ZelnickMedia, its partners, shareholders, members, officers, employees, affiliates, counsel, agents and representatives in connection with ZelnickMedia’s engagement hereunder and the rendering of services hereunder (including, but not limited to, attorneys’ fees in connection with the negotiation and performance of this Agreement and fees and expenses incurred in attending Company-related meetings) and (ii) reimburse ZelnickMedia for all travel expenses in accordance with the Company’s “Travel and Entertainment Policy”. The Company shall reimburse ZelnickMedia for all reasonable and documented attorneys’ fees incurred by ZelnickMedia in connection with the negotiation of this Agreement as soon as practicable after the date hereof.</w:t>
      </w:r>
    </w:p>
    <w:p>
      <w:pPr>
        <w:spacing w:after="0" w:line="188"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31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This Agreement will continue from the Effective Date through March 31, 2029 (the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unless earlier terminated by either ZelnickMedia or the Company in accordance with this Section 8. In the event the closing of the Combination does not occur, this Agreement shall not become effective and the 2017 Agreement shall remain in full force and effect in accordance with its terms and conditions. Following the Effective Date, this Agreement may be terminated immediately by the Company for Cause (as defined below) or by ZelnickMedia for Good Reason (as defined below), and may be terminated by the Company without Cause or by ZelnickMedia without Good Reason, in each case upon 30 days’ written notice (which requirement for written notice will be waived following a Change in Control). If this Agreement is terminated by the Company or ZelnickMedia prior to March 31, 2029, ZelnickMedia will be entitled to the following: (a) if this Agreement is terminated by the Company for Cause or by ZelnickMedia without Good Reason, all unvested equity granted under the Grant Agreements shall be forfeited for no consideration and ZelnickMedia shall be paid on the date of termination (i) the earned but unpaid portion of the Management Fee and (ii) any accrued but unpaid Annual Bonus for a completed fiscal year, and ZelnickMedia and/or any Subject Persons, as applicable, shall retain the vested portion of all equity granted pursuant to the Grant Agreements; (b) if this Agreement is terminated by the Company without Cause or by ZelnickMedia for Good Reason (whether before or after a Change in Control), (i) ZelnickMedia shall be paid on the date of termination (x) the earned but unpaid portion of the Management Fee, (y) any accrued but unpaid Annual Bonus for a completed fiscal year, and (z) three times (3X) the sum of (A) the Management Fee plus (B) the Target Bonus Amount;</w:t>
      </w:r>
    </w:p>
    <w:p>
      <w:pPr>
        <w:spacing w:after="0" w:line="9" w:lineRule="exact"/>
        <w:rPr>
          <w:rFonts w:ascii="Times New Roman" w:cs="Times New Roman" w:eastAsia="Times New Roman" w:hAnsi="Times New Roman"/>
          <w:sz w:val="17"/>
          <w:szCs w:val="17"/>
          <w:color w:val="auto"/>
        </w:rPr>
      </w:pPr>
    </w:p>
    <w:p>
      <w:pPr>
        <w:ind w:left="4" w:right="20" w:hanging="4"/>
        <w:spacing w:after="0" w:line="250"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unvested time-based restricted stock units granted pursuant to the Grant Agreements shall vest; and (iii) all performance-based restricted stock units granted pursuant to the Grant Agreements will vest in accordance with the terms of the applicable Grant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vesting of any such performance-based restricted stock units granted on or following the Annual Grant Date shall be determined based on the assumption that the applicable performance measure was achieved at the target level of performance for the applicable performance period or, prior to a Change in Control, based on the actual level of performance achieved for each applicable performance measure as of the date of termination. Notwithstanding anything to the contrary contained in this Agreement, if the parties fail to enter into a new agreement with respect to services by ZelnickMedia provided hereunder on substantially similar terms in the aggregate upon the expiration of the Initial Term or otherwise agree to extend the Initial Term, all unvested time-based restricted stock units granted pursuant to the Grant Agreements shall vest, and all performance-based restricted stock units granted pursuant to the Grant Agreements shall vest in accordance with the terms of the applicable Grant Agreement upon such expiration;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vesting of any such performance-based restricted stock units granted on or following the Annual Grant Date shall be determined based on the assumption that the applicable performance measure was achieved at the target level of performance for the applicable performance period or, prior to a Change in Control, based on the actual level of performance achieved for each applicable performance measure as of such vesting date. Upon a Change in Control, (i) this Agreement shall not terminate, and any termination of this Agreement (which, if done by the Company for any reason other than for Cause, shall be deemed a termination of this Agreement by the Company without Cause) shall only be in accordance with this Section 8, and (ii) all unvested restricted stock units granted pursuant to the Grant Agreements (including time-based and performance-based restricted stock units) will vest in accordance with the terms of the applicable Grant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vesting of any such restricted stock units granted on or following the Annual Grant Date shall occur upon the earlier of (x) a termination of this Agreement by the Company without Cause or by ZelnickMedia for Good Reason or (y) the second anniversary of the date such awards were granted pursuant to the Grant Agreements (irrespective of whether this Agreement has been terminated for any reason after such date) and (b) the vesting of any such performance-based restricted stock units granted on or following the Annual Grant Date shall be determined based on the assumption that the applicable performance measure was achieved at the target level of performance for the applicable performance period.</w:t>
      </w:r>
    </w:p>
    <w:p>
      <w:pPr>
        <w:spacing w:after="0" w:line="13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24"/>
          </w:cols>
          <w:pgMar w:left="436" w:top="270" w:right="439" w:bottom="1440" w:gutter="0" w:footer="0" w:header="0"/>
        </w:sectPr>
      </w:pPr>
    </w:p>
    <w:bookmarkStart w:id="20" w:name="page21"/>
    <w:bookmarkEnd w:id="2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 the conviction of, or a plea of guilty or nolo contendere by any of the individuals provided by ZelnickMedia to serve in the positions set forth in Section 3(i)(A)-(B) (which positions are currently filled by Strauss Zelnick or Karl Slatoff, respectively) of any felonious criminal act (other than traffic-related offenses or as a result of vicarious liability), (b) fraud, or (c) any act or omission involving malfeasance or gross negligence by ZelnickMedia in the performance of its obligations hereunder, in the case of each of clauses (b) through (c) above, that relates to and damages the Company and, if capable of being cured so that the Company is not materially damaged, is not so cured within 15 days after receipt by ZelnickMedia of written notice thereof.</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40"/>
          </w:cols>
          <w:pgMar w:left="440" w:top="270" w:right="51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(a) a condition that materially impairs the ability of ZelnickMedia, Strauss Zelnick, Karl Slatoff or any other individual appointed by ZelnickMedia pursuant to Section 3(i)(A)-(B) (other than a condition solely created by ZelnickMedia or such individuals) to perform their respective duties or responsibilities, as applicable, as contemplated herein, (b) assigning Strauss Zelnick, Karl Slatoff or any other individual appointed by ZelnickMedia pursuant to Section 3(i)(A)-(B) duties materially inconsistent with their respective positions (including status, offices, titles and reporting requirements), authorities or responsibilities or any other action by the Company which results in a material diminution of their respective positions, authorities, duties or responsibilities (and in making this determination with respect to Mr. Zelnick, factors may include Mr. Zelnick ceasing to be the most senior executive in any controlled group containing the Company), (c) the failure by the Company to perform any of its material obligations under this Agreement or (d) the requirement that ZelnickMedia’s place of service be located outside a 30-mile radius of New York City, 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ZelnickMedia provides not less than 30 days’ written notice to the Company (within 60 days of ZelnickMedia, Strauss Zelnick, Karl Slatoff or any other individual appointed by ZelnickMedia pursuant to Section 3(i)(A)-(B) becoming aware of the initial existence of the facts or circumstances constituting Good Reason) of its intention to terminate this Agreement for Good Reason, such notice to state in detail the particular act or acts or failure or failures to act that constitute the grounds on which the proposed termination for Good Reason is based, and such termination shall be effective at the expiration of such 30 day notice period only if the Company has not fully cured such act or acts or failure or failures to act that give rise to Good Reason during such period.</w:t>
      </w:r>
    </w:p>
    <w:p>
      <w:pPr>
        <w:spacing w:after="0" w:line="1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transaction or occurrence (or series of related transactions or occurrences) which results at any time in any of (i) a sale of all or substantially all of the consolidated assets of the Company and of its subsidiaries, or a consolidation, reorganization, merger, or other business combination of the Company with or into, any other Person (as defined below) if, after such transaction the stockholders of the Company immediately prior to such transaction beneficially hold, directly or indirectly, less than a majority of the outstanding voting units of the purchasing or surviving parent entity in such transaction, on a fully diluted basis, (ii) a change in the majority of the members of the Board to Persons who were neither (x) nominated or appointed by the current Board nor (y) nominated or appointed by directors so nominated or appointed, or (iii) an acquisition by any individual, general partnership, limited partnership, limited liability company, corporation, trust, estate, real estate investment trust association or any other entity (each,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or group of Persons (other than the Company or any subsidiary of the Company or any of their affiliates) of the outstanding securities of the Company in a transaction or series of transactions, if immediately thereafter such acquiring Person or group has, or would have, beneficial ownership of more than fifty percent (50%) of the combined equity interests or voting power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mere formation of a group will not itself constitute a Change in Control. A Change in Control shall be deemed to occur as of the effective date of the first event, action or transaction leading to one of the results described above.</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the parties hereto do not intend that actions taken by ZelnickMedia or any of its employees, shareholders, members, partners or other affiliates could give rise to a right on the part of ZelnickMedia to terminate this Agreement for Good Reason, the Company and ZelnickMedia hereby agree that, in no event shall any conduct or actions undertaken by ZelnickMedia or any of its employees, shareholders, members, partners or other affiliates, or any failure by such persons to act, give rise to or constitute Good Reason hereunder or, to the extent that such conduct, actions, or failure to act results in a termination of this Agreement, be deemed a termination of this Agreement by the Company without Cause.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20"/>
          </w:cols>
          <w:pgMar w:left="440" w:top="270" w:right="439" w:bottom="1440" w:gutter="0" w:footer="0" w:header="0"/>
        </w:sectPr>
      </w:pPr>
    </w:p>
    <w:bookmarkStart w:id="22" w:name="page23"/>
    <w:bookmarkEnd w:id="22"/>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termination of this Agreement shall affect the Company’s obligations with respect to any and all reasonable fees, costs and expenses incurred by ZelnickMedia in rendering services hereunder and not reimbursed by the Company as of the effective date of such termination or the Company’s indemnification and contribution obligations.</w:t>
      </w:r>
    </w:p>
    <w:p>
      <w:pPr>
        <w:spacing w:after="0" w:line="176" w:lineRule="exact"/>
        <w:rPr>
          <w:sz w:val="20"/>
          <w:szCs w:val="20"/>
          <w:color w:val="auto"/>
        </w:rPr>
      </w:pPr>
    </w:p>
    <w:p>
      <w:pPr>
        <w:ind w:firstLine="987"/>
        <w:spacing w:after="0" w:line="252" w:lineRule="auto"/>
        <w:tabs>
          <w:tab w:leader="none" w:pos="13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w:t>
      </w:r>
      <w:r>
        <w:rPr>
          <w:rFonts w:ascii="Times New Roman" w:cs="Times New Roman" w:eastAsia="Times New Roman" w:hAnsi="Times New Roman"/>
          <w:sz w:val="18"/>
          <w:szCs w:val="18"/>
          <w:color w:val="auto"/>
        </w:rPr>
        <w:t xml:space="preserve">. ZelnickMedia shall not at any time during or after the term of this Agreement, directly or indirectly, except as in good faith deemed necessary or desirable to perform any of its obligations hereunder, to defend its own rights or as required by applicable law or legal process, disclose or use for its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information, including, without limitation, relating to customers, development programs, costs, marketing, trading, investment, sales activities, promotion, credit and financial data, manufacturing processes, financing methods, plans, or the business and affairs of the Company, or of any subsidiary or affiliate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information which is generally known to the industry or the public (other than as a result of ZelnickMedia’s breach of this covenant) or information not obtained in connection with ZelnickMedia’s performance of its obligations under this Agreement. ZelnickMedia agrees that upon termination of this Agreement, upon the Company’s request, it shall immediately return to the Company all memoranda, books, papers, plans, information, letters and other data, and all copies thereof or therefrom, in any way relating to the business of the Company and its affiliates, except that ZelnickMedia may retain such personal notes, notebooks and diaries that do not contain confidential information of the type described above. For a period beginning on the date of this Agreement and ending one year after the date of termination of this Agreement, except in the event this Agreement is terminated by the Company without Cause or by ZelnickMedia for Good Reason, ZelnickMedia shall not in any capacity, either individually or in association with others, employ or solicit for employment (other than in any general solicitation) any person who is an employee of the Company or its affiliates at the level of vice president or higher immediately prior to such employment or during such solicitation.</w:t>
      </w:r>
    </w:p>
    <w:p>
      <w:pPr>
        <w:spacing w:after="0" w:line="194" w:lineRule="exact"/>
        <w:rPr>
          <w:rFonts w:ascii="Times New Roman" w:cs="Times New Roman" w:eastAsia="Times New Roman" w:hAnsi="Times New Roman"/>
          <w:sz w:val="18"/>
          <w:szCs w:val="18"/>
          <w:color w:val="auto"/>
        </w:rPr>
      </w:pPr>
    </w:p>
    <w:p>
      <w:pPr>
        <w:ind w:right="20" w:firstLine="987"/>
        <w:spacing w:after="0" w:line="258" w:lineRule="auto"/>
        <w:tabs>
          <w:tab w:leader="none" w:pos="1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Neither ZelnickMedia nor any of its affiliates, directors, officers, employees, counsel, agents or representatives shall be liable to the Company or its subsidiaries or affiliates for any loss, claim, liability, damage or expense arising out of or in connection with the performance of services contemplated by this Agreement, other than any loss, claim, liability, damage or expense to the extent determined by the final judgment of a court of competent jurisdiction to have been caused from the gross negligence, fraud, bad faith or willful misfeasance of ZelnickMedia or its affiliates.</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960"/>
          </w:cols>
          <w:pgMar w:left="440" w:top="270" w:right="499" w:bottom="1440" w:gutter="0" w:footer="0" w:header="0"/>
        </w:sectPr>
      </w:pPr>
    </w:p>
    <w:bookmarkStart w:id="23" w:name="page24"/>
    <w:bookmarkEnd w:id="23"/>
    <w:p>
      <w:pPr>
        <w:ind w:left="-987" w:right="40" w:firstLine="987"/>
        <w:spacing w:after="0" w:line="252" w:lineRule="auto"/>
        <w:tabs>
          <w:tab w:leader="none" w:pos="40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D&amp;O Insurance</w:t>
      </w:r>
      <w:r>
        <w:rPr>
          <w:rFonts w:ascii="Times New Roman" w:cs="Times New Roman" w:eastAsia="Times New Roman" w:hAnsi="Times New Roman"/>
          <w:sz w:val="18"/>
          <w:szCs w:val="18"/>
          <w:color w:val="auto"/>
        </w:rPr>
        <w:t>. To the fullest extent permitted by applicable law, the Company shall indemnify and hold harmless ZelnickMedia and its affiliates, and each of their respective members, managers, directors, officers, employees, counsel, agents, representatives, contractors and affiliates (each such individual or entity to be referred to hereinafter as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 claim, damage or liability, joint or several, and any action in respect thereof, whether or not involving a third party, to which an Indemnified Person may be subject, insofar as such loss, claim, damage, liability or action relates to, arises out of or results from any Covered Event (as such term is defined below) or alleged Covered Event, and will reimburse such Indemnified Person upon request for all expenses (including, without limitation, reasonable attorneys’ fees and disbursements) incurred by such Indemnified Person in connection with investigating, defending or preparing to defend against any such loss, claim, damage, liability or action, as such expenses are incurred or paid. The term “</w:t>
      </w:r>
      <w:r>
        <w:rPr>
          <w:rFonts w:ascii="Times New Roman" w:cs="Times New Roman" w:eastAsia="Times New Roman" w:hAnsi="Times New Roman"/>
          <w:sz w:val="18"/>
          <w:szCs w:val="18"/>
          <w:u w:val="single" w:color="auto"/>
          <w:color w:val="auto"/>
        </w:rPr>
        <w:t>Covered Event</w:t>
      </w:r>
      <w:r>
        <w:rPr>
          <w:rFonts w:ascii="Times New Roman" w:cs="Times New Roman" w:eastAsia="Times New Roman" w:hAnsi="Times New Roman"/>
          <w:sz w:val="18"/>
          <w:szCs w:val="18"/>
          <w:color w:val="auto"/>
        </w:rPr>
        <w:t xml:space="preserve">” shall mean (a) any action taken, or services performed, by an Indemnified Person, related to or consistent with the terms of this Agreement, the 2017 Agreement, the 2014 Agreement, the 2011 Agreement or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xml:space="preserve"> (the terms “</w:t>
      </w:r>
      <w:r>
        <w:rPr>
          <w:rFonts w:ascii="Times New Roman" w:cs="Times New Roman" w:eastAsia="Times New Roman" w:hAnsi="Times New Roman"/>
          <w:sz w:val="18"/>
          <w:szCs w:val="18"/>
          <w:u w:val="single" w:color="auto"/>
          <w:color w:val="auto"/>
        </w:rPr>
        <w:t>2014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2011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xml:space="preserve">” shall have the meanings ascribed in the 2017 Agreement), or (b) any action taken, or omitted to be taken, by the Company or any of its managers, directors, officers, employees, agents or affiliates, in connection with any matter in which an Indemnified Person has been involved pursuant to this Agreement, the 2017 Agreement, the 2014 Agreement, the 2011 Agreement or the Original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“Covered Event,” with respect to an Indemnified Person, shall exclude any loss, claim, damage, liability or expense to the extent determined by the final judgment of a court of competent jurisdiction to have been caused from the gross negligence, fraud, bad faith or willful misfeasance of such Indemnified Person or any affiliate thereof. The Company shall cover the designees of ZelnickMedia under directors’ and officers’ liability insurance both during and, while potential liability exists, after the term of this Agreement in amounts reasonably requested by ZelnickMedia.</w:t>
      </w:r>
    </w:p>
    <w:p>
      <w:pPr>
        <w:spacing w:after="0" w:line="193" w:lineRule="exact"/>
        <w:rPr>
          <w:rFonts w:ascii="Times New Roman" w:cs="Times New Roman" w:eastAsia="Times New Roman" w:hAnsi="Times New Roman"/>
          <w:sz w:val="18"/>
          <w:szCs w:val="18"/>
          <w:color w:val="auto"/>
        </w:rPr>
      </w:pPr>
    </w:p>
    <w:p>
      <w:pPr>
        <w:ind w:left="-987" w:firstLine="987"/>
        <w:spacing w:after="0" w:line="258" w:lineRule="auto"/>
        <w:tabs>
          <w:tab w:leader="none" w:pos="4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ZelnickMedia and the Company agree that ZelnickMedia shall perform services hereunder as an independent contractor, retaining control and direction over and responsibility for its own operations and personnel. Neither ZelnickMedia nor their directors, officers or employees shall be considered employees or agents of the Company or its subsidiaries as a result of this Agreement nor shall any of them have authority to contract in the name of or bind the Company, except as expressly agreed to in writing by the Company, including as provided in this Agreement.</w:t>
      </w:r>
    </w:p>
    <w:p>
      <w:pPr>
        <w:spacing w:after="0" w:line="115" w:lineRule="exact"/>
        <w:rPr>
          <w:rFonts w:ascii="Times New Roman" w:cs="Times New Roman" w:eastAsia="Times New Roman" w:hAnsi="Times New Roman"/>
          <w:sz w:val="18"/>
          <w:szCs w:val="18"/>
          <w:color w:val="auto"/>
        </w:rPr>
      </w:pPr>
    </w:p>
    <w:p>
      <w:pPr>
        <w:ind w:left="4433" w:hanging="108"/>
        <w:spacing w:after="0"/>
        <w:tabs>
          <w:tab w:leader="none" w:pos="443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013"/>
          </w:cols>
          <w:pgMar w:left="1427" w:top="270" w:right="459" w:bottom="1440" w:gutter="0" w:footer="0" w:header="0"/>
        </w:sectPr>
      </w:pPr>
    </w:p>
    <w:bookmarkStart w:id="24" w:name="page25"/>
    <w:bookmarkEnd w:id="24"/>
    <w:p>
      <w:pPr>
        <w:ind w:left="-987" w:right="200" w:firstLine="987"/>
        <w:spacing w:after="0" w:line="266" w:lineRule="auto"/>
        <w:tabs>
          <w:tab w:leader="none" w:pos="4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report or payment required or permitted to be given or made under this Agreement by one party to the other shall be deemed to have been duly given or made if personally delivered or, if mailed, when mailed by registered or certified mail, postage prepaid, to the other party at the following addresses (or at such other address as shall be given in writing by one party to the other):</w:t>
      </w:r>
    </w:p>
    <w:p>
      <w:pPr>
        <w:spacing w:after="0" w:line="68"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u w:val="single" w:color="auto"/>
          <w:color w:val="auto"/>
        </w:rPr>
        <w:t>If to ZelnickMedia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ZelnickMedia Corporation</w:t>
      </w:r>
    </w:p>
    <w:p>
      <w:pPr>
        <w:spacing w:after="0" w:line="2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110 East 59th Street, 24th Floor</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Telephone: (212) 223-1383</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Attention: Strauss Zelnick</w:t>
      </w:r>
    </w:p>
    <w:p>
      <w:pPr>
        <w:spacing w:after="0" w:line="9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1999 Avenue of the Stars, 17th Floor</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Telephone: (310) 595-9525</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Attention: Daniel Clivner</w:t>
      </w:r>
    </w:p>
    <w:p>
      <w:pPr>
        <w:spacing w:after="0" w:line="9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Telephone: (646) 536-3001</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Telephone: (212) 728-8129</w:t>
      </w:r>
    </w:p>
    <w:p>
      <w:pPr>
        <w:spacing w:after="0" w:line="9"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Attention: Adam Turteltaub</w:t>
      </w:r>
    </w:p>
    <w:p>
      <w:pPr>
        <w:spacing w:after="0" w:line="207" w:lineRule="exact"/>
        <w:rPr>
          <w:sz w:val="20"/>
          <w:szCs w:val="20"/>
          <w:color w:val="auto"/>
        </w:rPr>
      </w:pPr>
    </w:p>
    <w:p>
      <w:pPr>
        <w:ind w:left="-987" w:firstLine="987"/>
        <w:spacing w:after="0" w:line="252" w:lineRule="auto"/>
        <w:tabs>
          <w:tab w:leader="none" w:pos="4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w:t>
      </w:r>
      <w:r>
        <w:rPr>
          <w:rFonts w:ascii="Times New Roman" w:cs="Times New Roman" w:eastAsia="Times New Roman" w:hAnsi="Times New Roman"/>
          <w:sz w:val="18"/>
          <w:szCs w:val="18"/>
          <w:color w:val="auto"/>
        </w:rPr>
        <w:t xml:space="preserve">. Effective as of the Effective Date, this Agreement and the Grant Agreements shall (a) contain the complete and entire understanding and agreement of ZelnickMedia and the Company with respect to the subject matter hereof; and (b) supersede all prior and contemporaneous understandings, conditions and agreements, oral or written, express or implied, respecting the engagement of ZelnickMedia in connection with the subject matter hereof, including the 2017 Agreement, the 2014 Agreement, the 2011 Agreement and the Original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 with respect to Fiscal 2023, the Annual Bonus for the period from April 1, 2022 to the Effective Date shall be determined in accordance with Section 5 of the 2017 Agreement based on Fiscal 2023 performance, (ii) Section 23 (Registration Statement) of the 2017 Agreement shall survive the execution of this Agreement and (iii) to the extent expressly provided therein, each of the grant agreements attached as Exhibit A to the 2017 Agreement relating to the restricted stock units described in Section 6 of the 2017 Agreement shall remain in full force and effect in accordance with the terms thereof and shall not be superseded by this Agreement or by the 2022 Grant Agreements, including without limitation with respect to the grant, vesting or termination of any equity awards contemplated therein. This Agreement may be amended or modified, or any of the terms, covenants or conditions hereof may be waived, only by a written instrument executed by ZelnickMedia and the Company, or in the case of a waiver, by the party or parties waiving compliance. Any waiver by any party of any condition, or of the breach of any provision, term or covenant contained in this Agreement, in any one or more instances, shall not be deemed to be nor construed as a further or continuing waiver of any such condition, or the breach of any other provision, term or covenant of this Agreement.</w:t>
      </w:r>
    </w:p>
    <w:p>
      <w:pPr>
        <w:spacing w:after="0" w:line="197" w:lineRule="exact"/>
        <w:rPr>
          <w:rFonts w:ascii="Times New Roman" w:cs="Times New Roman" w:eastAsia="Times New Roman" w:hAnsi="Times New Roman"/>
          <w:sz w:val="18"/>
          <w:szCs w:val="18"/>
          <w:color w:val="auto"/>
        </w:rPr>
      </w:pPr>
    </w:p>
    <w:p>
      <w:pPr>
        <w:ind w:left="-987" w:right="160" w:firstLine="987"/>
        <w:spacing w:after="0" w:line="282" w:lineRule="auto"/>
        <w:tabs>
          <w:tab w:leader="none" w:pos="4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The waiver by either party of a breach of any provision of this Agreement by the other party shall not operate or be construed as a waiver of any subsequent breach of that provision or any other provision hereof.</w:t>
      </w:r>
    </w:p>
    <w:p>
      <w:pPr>
        <w:spacing w:after="0" w:line="94"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9993"/>
          </w:cols>
          <w:pgMar w:left="1427" w:top="270" w:right="479" w:bottom="1440" w:gutter="0" w:footer="0" w:header="0"/>
        </w:sectPr>
      </w:pPr>
    </w:p>
    <w:bookmarkStart w:id="25" w:name="page26"/>
    <w:bookmarkEnd w:id="25"/>
    <w:p>
      <w:pPr>
        <w:ind w:right="180" w:firstLine="987"/>
        <w:spacing w:after="0" w:line="255" w:lineRule="auto"/>
        <w:tabs>
          <w:tab w:leader="none" w:pos="13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r>
        <w:rPr>
          <w:rFonts w:ascii="Times New Roman" w:cs="Times New Roman" w:eastAsia="Times New Roman" w:hAnsi="Times New Roman"/>
          <w:sz w:val="18"/>
          <w:szCs w:val="18"/>
          <w:color w:val="auto"/>
        </w:rPr>
        <w:t>. ZelnickMedia may assign its rights or obligations under this Agreement only with the express written consent of the Company, such consent not to be unreasonably withheld. The Company may not assign its rights or obligations under this Agreement. The Company hereby agrees to the assignment by ZelnickMedia of all of its rights and obligations under this Agreement to ZM Capital Advisors, LLC, a Delaware limited liability company (“</w:t>
      </w:r>
      <w:r>
        <w:rPr>
          <w:rFonts w:ascii="Times New Roman" w:cs="Times New Roman" w:eastAsia="Times New Roman" w:hAnsi="Times New Roman"/>
          <w:sz w:val="18"/>
          <w:szCs w:val="18"/>
          <w:u w:val="single" w:color="auto"/>
          <w:color w:val="auto"/>
        </w:rPr>
        <w:t>ZM Capital</w:t>
      </w:r>
      <w:r>
        <w:rPr>
          <w:rFonts w:ascii="Times New Roman" w:cs="Times New Roman" w:eastAsia="Times New Roman" w:hAnsi="Times New Roman"/>
          <w:sz w:val="18"/>
          <w:szCs w:val="18"/>
          <w:color w:val="auto"/>
        </w:rPr>
        <w:t xml:space="preserve">”) or ZMC Advisors, LLC, a Delaware limited liability company (“ZMC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ZelnickMedia shall remain liable for all of the obligations hereunder and under this Agreement. In the event ZelnickMedia elects to effect such assignment to ZM Capital or ZMC Advisors, it shall cause ZM Capital or ZMC Advisors, as the case may be, to execute a joinder agreement to this Agreement in form and substance reasonably acceptable to the Company.</w:t>
      </w:r>
    </w:p>
    <w:p>
      <w:pPr>
        <w:spacing w:after="0" w:line="188"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and all the obligations and benefits hereunder shall inure to the successors and permitted assigns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w:t>
      </w:r>
    </w:p>
    <w:p>
      <w:pPr>
        <w:spacing w:after="0" w:line="206" w:lineRule="exact"/>
        <w:rPr>
          <w:rFonts w:ascii="Times New Roman" w:cs="Times New Roman" w:eastAsia="Times New Roman" w:hAnsi="Times New Roman"/>
          <w:sz w:val="18"/>
          <w:szCs w:val="18"/>
          <w:color w:val="auto"/>
        </w:rPr>
      </w:pPr>
    </w:p>
    <w:p>
      <w:pPr>
        <w:ind w:firstLine="987"/>
        <w:spacing w:after="0" w:line="261" w:lineRule="auto"/>
        <w:tabs>
          <w:tab w:leader="none" w:pos="13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Pay</w:t>
      </w:r>
      <w:r>
        <w:rPr>
          <w:rFonts w:ascii="Times New Roman" w:cs="Times New Roman" w:eastAsia="Times New Roman" w:hAnsi="Times New Roman"/>
          <w:sz w:val="18"/>
          <w:szCs w:val="18"/>
          <w:color w:val="auto"/>
        </w:rPr>
        <w:t>. If for any reason the Company does not pay the Management Fee, Annual Bonus or any other amount due under this Agreement when due, then such amount shall accrue interest at a rate of 1% per month and shall continue to be payable and shall be paid by the Company as soon as it can be paid. The preceding sentence shall not limit any other remedies of ZelnickMedia in the event amounts are not paid when due.</w:t>
      </w:r>
    </w:p>
    <w:p>
      <w:pPr>
        <w:spacing w:after="0" w:line="179" w:lineRule="exact"/>
        <w:rPr>
          <w:rFonts w:ascii="Times New Roman" w:cs="Times New Roman" w:eastAsia="Times New Roman" w:hAnsi="Times New Roman"/>
          <w:sz w:val="18"/>
          <w:szCs w:val="18"/>
          <w:color w:val="auto"/>
        </w:rPr>
      </w:pPr>
    </w:p>
    <w:p>
      <w:pPr>
        <w:ind w:right="60" w:firstLine="987"/>
        <w:spacing w:after="0" w:line="282" w:lineRule="auto"/>
        <w:tabs>
          <w:tab w:leader="none" w:pos="13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by each party hereto in separate counterparts, each of which when so executed and delivered shall be deemed an original and both of which taken together shall constitute one and the same agreement.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900"/>
          </w:cols>
          <w:pgMar w:left="440" w:top="270" w:right="559" w:bottom="1440" w:gutter="0" w:footer="0" w:header="0"/>
        </w:sectPr>
      </w:pPr>
    </w:p>
    <w:bookmarkStart w:id="26" w:name="page27"/>
    <w:bookmarkEnd w:id="26"/>
    <w:p>
      <w:pPr>
        <w:ind w:left="4" w:firstLine="987"/>
        <w:spacing w:after="0" w:line="258"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Choice of Law</w:t>
      </w:r>
      <w:r>
        <w:rPr>
          <w:rFonts w:ascii="Times New Roman" w:cs="Times New Roman" w:eastAsia="Times New Roman" w:hAnsi="Times New Roman"/>
          <w:sz w:val="18"/>
          <w:szCs w:val="18"/>
          <w:color w:val="auto"/>
        </w:rPr>
        <w:t xml:space="preserve">. This Agreement and any dispute arising hereunder shall be governed by and construed in accordance with the domestic laws of the State of Delaware, without giving effect to any choice of law or conflict of laws provision or rule (whether of the State of Delaware or any other jurisdiction) that would cause the application of the laws of any jurisdiction other than the State of Delaware. Each party consents to the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personam </w:t>
      </w:r>
      <w:r>
        <w:rPr>
          <w:rFonts w:ascii="Times New Roman" w:cs="Times New Roman" w:eastAsia="Times New Roman" w:hAnsi="Times New Roman"/>
          <w:sz w:val="18"/>
          <w:szCs w:val="18"/>
          <w:color w:val="auto"/>
        </w:rPr>
        <w:t>jurisdiction of the Court of Chancery or other courts of the State of Delaware and the United States District Court located in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in connection with any claim or dispute arising under or in connection with this Agreement.</w:t>
      </w:r>
    </w:p>
    <w:p>
      <w:pPr>
        <w:spacing w:after="0" w:line="183" w:lineRule="exact"/>
        <w:rPr>
          <w:rFonts w:ascii="Times New Roman" w:cs="Times New Roman" w:eastAsia="Times New Roman" w:hAnsi="Times New Roman"/>
          <w:sz w:val="18"/>
          <w:szCs w:val="18"/>
          <w:color w:val="auto"/>
        </w:rPr>
      </w:pPr>
    </w:p>
    <w:p>
      <w:pPr>
        <w:ind w:left="4" w:right="140" w:firstLine="987"/>
        <w:spacing w:after="0" w:line="281" w:lineRule="auto"/>
        <w:tabs>
          <w:tab w:leader="none" w:pos="14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or becomes illegal, invalid or unenforceable under any law or regulation of any jurisdiction, it shall, as to such jurisdiction, be deemed modified to the least degree necessary to conform to the requirements of such law or regulation, or if for any reason it is not deemed so modified, it shall be illegal, invalid or unenforceable only to the extent set forth in the law or regulation without affecting the legality, validity or enforceability of such provision in any other jurisdiction or the remaining provisions of this Agreement.</w:t>
      </w:r>
    </w:p>
    <w:p>
      <w:pPr>
        <w:spacing w:after="0" w:line="164" w:lineRule="exact"/>
        <w:rPr>
          <w:rFonts w:ascii="Times New Roman" w:cs="Times New Roman" w:eastAsia="Times New Roman" w:hAnsi="Times New Roman"/>
          <w:sz w:val="17"/>
          <w:szCs w:val="17"/>
          <w:color w:val="auto"/>
        </w:rPr>
      </w:pPr>
    </w:p>
    <w:p>
      <w:pPr>
        <w:ind w:left="4" w:right="20" w:firstLine="987"/>
        <w:spacing w:after="0" w:line="256"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contained in this Agreement, in the event that one or more payments under this Agreement are subject to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and would cause ZelnickMedia to incur any additional tax or interest under Section 409A of the Code or any regulations or Treasury guidance promulgated thereunder, the Company shall, at no additional cost to the Company, after consulting with ZelnickMedia and receiving ZelnickMedia’s approval, reform and appropriately adjust such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agrees to maintain, to the maximum extent practicable without any such additional cost to the Company, the original intent and economic benefit to ZelnickMedia of the applicable provision without violating the provisions of Section 409A of the Code.</w:t>
      </w:r>
    </w:p>
    <w:p>
      <w:pPr>
        <w:spacing w:after="0" w:line="187"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Subject to reasonable blackout periods and the receipt of necessary information from ZelnickMedia (or any Subject Person, if applicable) for inclusion in such filing, the Company shall, at any time following the first anniversary of the date hereof and within 45 days following the written request of ZelnickMedia, file a registration statement on Form S-3 (or any applicable successor registration form)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shares of the common stock granted to ZelnickMedia pursuant to the 2022 Grant Agreements and any grant agreements entered into with respect to additional grants by the Company in accordance with Section 6. Subject to reasonable blackout periods, the Company shall use its reasonable best efforts to prepare and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such amendments and supplements to the Registration Statement and the prospectus used in connection therewith as may be necessary to keep the Registration Statement continuously effective and free from any material misstatement or omission to state a material fact until such time as all such shares of common stock have been sold pursuant to a registration statement or are otherwise freely tradable.</w:t>
      </w:r>
    </w:p>
    <w:p>
      <w:pPr>
        <w:spacing w:after="0" w:line="188" w:lineRule="exact"/>
        <w:rPr>
          <w:rFonts w:ascii="Times New Roman" w:cs="Times New Roman" w:eastAsia="Times New Roman" w:hAnsi="Times New Roman"/>
          <w:sz w:val="18"/>
          <w:szCs w:val="18"/>
          <w:color w:val="auto"/>
        </w:rPr>
      </w:pPr>
    </w:p>
    <w:p>
      <w:pPr>
        <w:ind w:left="4" w:right="600" w:firstLine="987"/>
        <w:spacing w:after="0" w:line="276" w:lineRule="auto"/>
        <w:tabs>
          <w:tab w:leader="none" w:pos="14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Dodd-Frank</w:t>
      </w:r>
      <w:r>
        <w:rPr>
          <w:rFonts w:ascii="Times New Roman" w:cs="Times New Roman" w:eastAsia="Times New Roman" w:hAnsi="Times New Roman"/>
          <w:sz w:val="17"/>
          <w:szCs w:val="17"/>
          <w:color w:val="auto"/>
        </w:rPr>
        <w:t xml:space="preserve">. ZelnickMedia hereby acknowledges (i) the section in the Company’s Corporate Governance Guidelines entitled “Recovery of Improperly-Awarded Incentive Compensation”, a copy of which is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Clawback Policy</w:t>
      </w:r>
      <w:r>
        <w:rPr>
          <w:rFonts w:ascii="Times New Roman" w:cs="Times New Roman" w:eastAsia="Times New Roman" w:hAnsi="Times New Roman"/>
          <w:sz w:val="17"/>
          <w:szCs w:val="17"/>
          <w:color w:val="auto"/>
        </w:rPr>
        <w:t>”) and</w:t>
      </w:r>
    </w:p>
    <w:p>
      <w:pPr>
        <w:ind w:left="4" w:right="40" w:hanging="4"/>
        <w:spacing w:after="0" w:line="251"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954 of the Dodd-Frank Wall Street Reform and Consumer Protection Act of 2010 (the “</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which requires that the SEC, by rule, direct the national securities exchanges and national securities associates to prohibit the listing of any security of an issuer that fails to implement a “clawback” policy providing that “in the event that the issuer is required to prepare an accounting restatement due to the material noncompliance of the issuer with any financial reporting requirement under the securities laws, the issuer will recover from any current or former executive of the issuer who received incentive-based compensation (including stock options awarded as compensation) during the three-year period preceding the date on which the issuer is required to prepare an accounting restatement, based on the erroneous data, in excess of what would have been paid to the executive officer under the accounting restatement.” ZelnickMedia shall, and shall cause its shareholders, partners, employees, members and other affiliates who are deemed “Executives” under the Clawback Policy or who receive any portion of the Equity Awards, to comply with the Clawback Policy, including as may be amended or superseded by the Board after the date hereof to the extent required to comply with any rules adopted by the SEC in response to Section 954 of the Dodd-Frank Act.</w:t>
      </w:r>
    </w:p>
    <w:p>
      <w:pPr>
        <w:spacing w:after="0" w:line="192" w:lineRule="exact"/>
        <w:rPr>
          <w:rFonts w:ascii="Times New Roman" w:cs="Times New Roman" w:eastAsia="Times New Roman" w:hAnsi="Times New Roman"/>
          <w:sz w:val="18"/>
          <w:szCs w:val="18"/>
          <w:color w:val="auto"/>
        </w:rPr>
      </w:pPr>
    </w:p>
    <w:p>
      <w:pPr>
        <w:ind w:left="5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04"/>
          </w:cols>
          <w:pgMar w:left="436" w:top="270" w:right="459" w:bottom="1440" w:gutter="0" w:footer="0" w:header="0"/>
        </w:sectPr>
      </w:pPr>
    </w:p>
    <w:bookmarkStart w:id="27" w:name="page28"/>
    <w:bookmarkEnd w:id="2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Management Agreement to be duly executed and delivered on the date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ZELNICKMEDIA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Strauss Zelnick</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P. Emerson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EVP and Chief Legal Officer</w:t>
      </w:r>
    </w:p>
    <w:p>
      <w:pPr>
        <w:sectPr>
          <w:pgSz w:w="11900" w:h="16838" w:orient="portrait"/>
          <w:cols w:equalWidth="0" w:num="1">
            <w:col w:w="10900"/>
          </w:cols>
          <w:pgMar w:left="440" w:top="270" w:right="5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203"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This Restricted Unit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 is made by and between Take-Two Interactive Software,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ZelnickMedia Corporation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-186690</wp:posOffset>
            </wp:positionV>
            <wp:extent cx="114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adopted the Take-Two Interactive Software, Inc. 2017 Stock Incentive Plan (as amended and restated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 copy of which has been delivered to the Participant, which is administered by a committee appointed by the Company’s Board of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7 of the Plan, the Committee may grant restricted stock units (“</w:t>
      </w:r>
      <w:r>
        <w:rPr>
          <w:rFonts w:ascii="Times New Roman" w:cs="Times New Roman" w:eastAsia="Times New Roman" w:hAnsi="Times New Roman"/>
          <w:sz w:val="18"/>
          <w:szCs w:val="18"/>
          <w:b w:val="1"/>
          <w:bCs w:val="1"/>
          <w:color w:val="auto"/>
        </w:rPr>
        <w:t>Restricted Units</w:t>
      </w:r>
      <w:r>
        <w:rPr>
          <w:rFonts w:ascii="Times New Roman" w:cs="Times New Roman" w:eastAsia="Times New Roman" w:hAnsi="Times New Roman"/>
          <w:sz w:val="18"/>
          <w:szCs w:val="18"/>
          <w:color w:val="auto"/>
        </w:rPr>
        <w:t>”), each representing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one (1) share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of the Company’s common stock, par value $0.01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the cash value of one (1) share of Common Stock, as determined by the Committee, on a specified settlement date, to Consultants; and</w:t>
      </w:r>
    </w:p>
    <w:p>
      <w:pPr>
        <w:spacing w:after="0" w:line="171" w:lineRule="exact"/>
        <w:rPr>
          <w:sz w:val="20"/>
          <w:szCs w:val="20"/>
          <w:color w:val="auto"/>
        </w:rPr>
      </w:pPr>
    </w:p>
    <w:p>
      <w:pPr>
        <w:ind w:right="1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Management Agreement between the Participant and the Company, dated as of __, and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the Company has agreed to grant Restricted Units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-186690</wp:posOffset>
            </wp:positionV>
            <wp:extent cx="1143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promises herein contained,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155" w:lineRule="exact"/>
        <w:rPr>
          <w:sz w:val="20"/>
          <w:szCs w:val="20"/>
          <w:color w:val="auto"/>
        </w:rPr>
      </w:pPr>
    </w:p>
    <w:p>
      <w:pPr>
        <w:ind w:right="20" w:firstLine="436"/>
        <w:spacing w:after="0" w:line="252" w:lineRule="auto"/>
        <w:tabs>
          <w:tab w:leader="none" w:pos="7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terms and conditions of this Agreement, the Company hereby awards to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for purposes of this Section 1,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 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94"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Units shall become vested and settled in accordance with the terms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-2199640</wp:posOffset>
            </wp:positionV>
            <wp:extent cx="228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9" w:name="page30"/>
    <w:bookmarkEnd w:id="29"/>
    <w:p>
      <w:pPr>
        <w:ind w:firstLine="436"/>
        <w:spacing w:after="0" w:line="286"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shall be solely responsible for all applicable federal, state, local, and foreign taxes the Participant incurs from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of the Restricted Units.</w:t>
      </w:r>
    </w:p>
    <w:p>
      <w:pPr>
        <w:spacing w:after="0" w:line="154" w:lineRule="exact"/>
        <w:rPr>
          <w:rFonts w:ascii="Times New Roman" w:cs="Times New Roman" w:eastAsia="Times New Roman" w:hAnsi="Times New Roman"/>
          <w:sz w:val="18"/>
          <w:szCs w:val="18"/>
          <w:color w:val="auto"/>
        </w:rPr>
      </w:pPr>
    </w:p>
    <w:p>
      <w:pPr>
        <w:ind w:right="160" w:firstLine="436"/>
        <w:spacing w:after="0" w:line="262"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Obligation to Continue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not an agreement of consultancy. This Agreement does not guarantee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76" w:lineRule="exact"/>
        <w:rPr>
          <w:rFonts w:ascii="Times New Roman" w:cs="Times New Roman" w:eastAsia="Times New Roman" w:hAnsi="Times New Roman"/>
          <w:sz w:val="18"/>
          <w:szCs w:val="18"/>
          <w:color w:val="auto"/>
        </w:rPr>
      </w:pPr>
    </w:p>
    <w:p>
      <w:pPr>
        <w:ind w:right="40" w:firstLine="436"/>
        <w:spacing w:after="0" w:line="256"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successors and assigns, is hereby appointed the attorney-in-fact, with full power of substitution,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82" w:lineRule="exact"/>
        <w:rPr>
          <w:rFonts w:ascii="Times New Roman" w:cs="Times New Roman" w:eastAsia="Times New Roman" w:hAnsi="Times New Roman"/>
          <w:sz w:val="18"/>
          <w:szCs w:val="18"/>
          <w:color w:val="auto"/>
        </w:rPr>
      </w:pPr>
    </w:p>
    <w:p>
      <w:pPr>
        <w:ind w:right="40" w:firstLine="436"/>
        <w:spacing w:after="0" w:line="262"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else herein, to the extent permitted under applicable law, the Company may issue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76" w:lineRule="exact"/>
        <w:rPr>
          <w:rFonts w:ascii="Times New Roman" w:cs="Times New Roman" w:eastAsia="Times New Roman" w:hAnsi="Times New Roman"/>
          <w:sz w:val="18"/>
          <w:szCs w:val="18"/>
          <w:color w:val="auto"/>
        </w:rPr>
      </w:pPr>
    </w:p>
    <w:p>
      <w:pPr>
        <w:ind w:right="20" w:firstLine="436"/>
        <w:spacing w:after="0" w:line="256"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subject to all the terms, conditions, and provisions of the Plan,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182" w:lineRule="exact"/>
        <w:rPr>
          <w:rFonts w:ascii="Times New Roman" w:cs="Times New Roman" w:eastAsia="Times New Roman" w:hAnsi="Times New Roman"/>
          <w:sz w:val="18"/>
          <w:szCs w:val="18"/>
          <w:color w:val="auto"/>
        </w:rPr>
      </w:pPr>
    </w:p>
    <w:p>
      <w:pPr>
        <w:ind w:right="320" w:firstLine="436"/>
        <w:spacing w:after="0" w:line="286"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Company shall make any adjustments to the Restricted Units upon any changes in capital structure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Committee in good faith and in a manner consistent with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0" w:name="page31"/>
    <w:bookmarkEnd w:id="30"/>
    <w:p>
      <w:pPr>
        <w:ind w:firstLine="436"/>
        <w:spacing w:after="0" w:line="268" w:lineRule="auto"/>
        <w:tabs>
          <w:tab w:leader="none" w:pos="7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or communication given hereunder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in writing and shall be sent by personal delivery, by courier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United States mail (registered or certified mail, postage prepaid and return receipt requested), to the appropriate party at the address set forth below:</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(646) 536-3001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Participant,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ZelnickMedia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East 59th Street, 24th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(212) 223-1383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Strauss Zelnick</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58" w:lineRule="exact"/>
        <w:rPr>
          <w:sz w:val="20"/>
          <w:szCs w:val="20"/>
          <w:color w:val="auto"/>
        </w:rPr>
      </w:pPr>
    </w:p>
    <w:p>
      <w:pPr>
        <w:ind w:right="100" w:firstLine="436"/>
        <w:spacing w:after="0" w:line="262" w:lineRule="auto"/>
        <w:tabs>
          <w:tab w:leader="none" w:pos="8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questions concerning the construction, validity, and interpretation of this Agreement will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6" w:lineRule="exact"/>
        <w:rPr>
          <w:rFonts w:ascii="Times New Roman" w:cs="Times New Roman" w:eastAsia="Times New Roman" w:hAnsi="Times New Roman"/>
          <w:sz w:val="18"/>
          <w:szCs w:val="18"/>
          <w:color w:val="auto"/>
        </w:rPr>
      </w:pPr>
    </w:p>
    <w:p>
      <w:pPr>
        <w:ind w:firstLine="436"/>
        <w:spacing w:after="0" w:line="252" w:lineRule="auto"/>
        <w:tabs>
          <w:tab w:leader="none" w:pos="8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the Plan to the contrary, in the event of any dispute, controversy, or claim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 and the Participant in any way concerning, arising out of or relating to the Plan or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Times New Roman" w:cs="Times New Roman" w:eastAsia="Times New Roman" w:hAnsi="Times New Roman"/>
          <w:sz w:val="18"/>
          <w:szCs w:val="18"/>
          <w:b w:val="1"/>
          <w:bCs w:val="1"/>
          <w:color w:val="auto"/>
        </w:rPr>
        <w:t>Agreed Venue</w:t>
      </w:r>
      <w:r>
        <w:rPr>
          <w:rFonts w:ascii="Times New Roman" w:cs="Times New Roman" w:eastAsia="Times New Roman" w:hAnsi="Times New Roman"/>
          <w:sz w:val="18"/>
          <w:szCs w:val="18"/>
          <w:color w:val="auto"/>
        </w:rPr>
        <w:t>”) for resolution of any such Dispute, (b) 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 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94" w:lineRule="exact"/>
        <w:rPr>
          <w:rFonts w:ascii="Times New Roman" w:cs="Times New Roman" w:eastAsia="Times New Roman" w:hAnsi="Times New Roman"/>
          <w:sz w:val="18"/>
          <w:szCs w:val="18"/>
          <w:color w:val="auto"/>
        </w:rPr>
      </w:pPr>
    </w:p>
    <w:p>
      <w:pPr>
        <w:ind w:right="480" w:firstLine="436"/>
        <w:spacing w:after="0" w:line="286" w:lineRule="auto"/>
        <w:tabs>
          <w:tab w:leader="none" w:pos="8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(including by facsimile transmission) with counterpart signature pages or in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an original and all of which taken together shall constitute one and the same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1" w:name="page32"/>
    <w:bookmarkEnd w:id="31"/>
    <w:p>
      <w:pPr>
        <w:ind w:firstLine="436"/>
        <w:spacing w:after="0" w:line="262" w:lineRule="auto"/>
        <w:tabs>
          <w:tab w:leader="none" w:pos="8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subject to the terms of the Plan, at any time and from time to time amend, in whole or in part,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76"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220" w:firstLine="987"/>
        <w:spacing w:after="0" w:line="282" w:lineRule="auto"/>
        <w:tabs>
          <w:tab w:leader="none" w:pos="13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heirs, legal representatives, successors, and assigns.</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3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5" w:lineRule="auto"/>
        <w:tabs>
          <w:tab w:leader="none" w:pos="13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 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date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TAKE-TWO INTERACTIVE</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SOFTWARE, INC.</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Daniel P. Emerson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ZELNICKMEDIA CORPORATION</w:t>
      </w:r>
    </w:p>
    <w:p>
      <w:pPr>
        <w:spacing w:after="0" w:line="25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33" w:name="page34"/>
    <w:bookmarkEnd w:id="33"/>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ind w:left="364" w:hanging="364"/>
        <w:spacing w:after="0"/>
        <w:tabs>
          <w:tab w:leader="none" w:pos="3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Time-Based Vesting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Subject to Section C, [ ] of the Restricted Units (the “</w:t>
      </w:r>
      <w:r>
        <w:rPr>
          <w:rFonts w:ascii="Times New Roman" w:cs="Times New Roman" w:eastAsia="Times New Roman" w:hAnsi="Times New Roman"/>
          <w:sz w:val="18"/>
          <w:szCs w:val="18"/>
          <w:b w:val="1"/>
          <w:bCs w:val="1"/>
          <w:color w:val="auto"/>
        </w:rPr>
        <w:t>Time-Based Units</w:t>
      </w:r>
      <w:r>
        <w:rPr>
          <w:rFonts w:ascii="Times New Roman" w:cs="Times New Roman" w:eastAsia="Times New Roman" w:hAnsi="Times New Roman"/>
          <w:sz w:val="18"/>
          <w:szCs w:val="18"/>
          <w:color w:val="auto"/>
        </w:rPr>
        <w:t>”) shall become vested on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Time-Based Vesting Commencement Date (such vesting date, the “</w:t>
      </w:r>
      <w:r>
        <w:rPr>
          <w:rFonts w:ascii="Times New Roman" w:cs="Times New Roman" w:eastAsia="Times New Roman" w:hAnsi="Times New Roman"/>
          <w:sz w:val="18"/>
          <w:szCs w:val="18"/>
          <w:b w:val="1"/>
          <w:bCs w:val="1"/>
          <w:color w:val="auto"/>
        </w:rPr>
        <w:t>Time Vesting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-186690</wp:posOffset>
            </wp:positionV>
            <wp:extent cx="3429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9" w:lineRule="exact"/>
        <w:rPr>
          <w:sz w:val="20"/>
          <w:szCs w:val="20"/>
          <w:color w:val="auto"/>
        </w:rPr>
      </w:pPr>
    </w:p>
    <w:p>
      <w:pPr>
        <w:ind w:left="344" w:hanging="344"/>
        <w:spacing w:after="0"/>
        <w:tabs>
          <w:tab w:leader="none" w:pos="3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Subject to Section C, certain of the Restricted Units shall be subject to performance-based vesting in accordance with Section (B)(i) (the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Performance-Based Units</w:t>
      </w:r>
      <w:r>
        <w:rPr>
          <w:rFonts w:ascii="Times New Roman" w:cs="Times New Roman" w:eastAsia="Times New Roman" w:hAnsi="Times New Roman"/>
          <w:sz w:val="18"/>
          <w:szCs w:val="18"/>
          <w:color w:val="auto"/>
        </w:rPr>
        <w:t>”), and Section (B)(ii) (the “</w:t>
      </w:r>
      <w:r>
        <w:rPr>
          <w:rFonts w:ascii="Times New Roman" w:cs="Times New Roman" w:eastAsia="Times New Roman" w:hAnsi="Times New Roman"/>
          <w:sz w:val="18"/>
          <w:szCs w:val="18"/>
          <w:b w:val="1"/>
          <w:bCs w:val="1"/>
          <w:color w:val="auto"/>
        </w:rPr>
        <w:t>Recurrent Consumer Spending Performance-Based Units</w:t>
      </w:r>
      <w:r>
        <w:rPr>
          <w:rFonts w:ascii="Times New Roman" w:cs="Times New Roman" w:eastAsia="Times New Roman" w:hAnsi="Times New Roman"/>
          <w:sz w:val="18"/>
          <w:szCs w:val="18"/>
          <w:color w:val="auto"/>
        </w:rPr>
        <w:t>” and together with the TSR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Performance-Based Units, the “</w:t>
      </w:r>
      <w:r>
        <w:rPr>
          <w:rFonts w:ascii="Times New Roman" w:cs="Times New Roman" w:eastAsia="Times New Roman" w:hAnsi="Times New Roman"/>
          <w:sz w:val="18"/>
          <w:szCs w:val="18"/>
          <w:b w:val="1"/>
          <w:bCs w:val="1"/>
          <w:color w:val="auto"/>
        </w:rPr>
        <w:t>Performance-Based Units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784" w:hanging="344"/>
        <w:spacing w:after="0"/>
        <w:tabs>
          <w:tab w:leader="none" w:pos="7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TSR Performance-Based Units</w:t>
      </w:r>
      <w:r>
        <w:rPr>
          <w:rFonts w:ascii="Times New Roman" w:cs="Times New Roman" w:eastAsia="Times New Roman" w:hAnsi="Times New Roman"/>
          <w:sz w:val="18"/>
          <w:szCs w:val="18"/>
          <w:color w:val="auto"/>
        </w:rPr>
        <w:t>. The target number of TSR Performance-Based Units that shall be eligible to vest pursuant to this Section B(i)</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w:t>
      </w:r>
      <w:r>
        <w:rPr>
          <w:rFonts w:ascii="Times New Roman" w:cs="Times New Roman" w:eastAsia="Times New Roman" w:hAnsi="Times New Roman"/>
          <w:sz w:val="17"/>
          <w:szCs w:val="17"/>
          <w:color w:val="auto"/>
        </w:rPr>
        <w:t>],and the maximum number of TSR Performance-Based Units that shall be eligible to vest pursuant to this Section B(i) shall be</w:t>
      </w:r>
    </w:p>
    <w:p>
      <w:pPr>
        <w:spacing w:after="0" w:line="9"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Subject to Section C, on the Performance Vesting Date, a number of TSR Performance-Based Units shall become vested equal to the product of (x) the target number of TSR Performance-Based Units eligible to vest pursuant to this Section B(i)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TSR Vesting Percentage as of the Performance Measurement Date, rounded down to the nearest whole TSR Performance-Based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-443865</wp:posOffset>
            </wp:positionV>
            <wp:extent cx="3429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-306705</wp:posOffset>
            </wp:positionV>
            <wp:extent cx="3429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the TSR Performance-Based Units, the following definitions shall apply:</w:t>
      </w:r>
    </w:p>
    <w:p>
      <w:pPr>
        <w:spacing w:after="0" w:line="22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Peer Group</w:t>
      </w:r>
      <w:r>
        <w:rPr>
          <w:rFonts w:ascii="Times New Roman" w:cs="Times New Roman" w:eastAsia="Times New Roman" w:hAnsi="Times New Roman"/>
          <w:sz w:val="18"/>
          <w:szCs w:val="18"/>
          <w:color w:val="auto"/>
        </w:rPr>
        <w:t xml:space="preserve">” shall consist of the companies that comprise The NASDAQ-100 Index on the TSR Reference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subject to clause (iii)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 in the event of a merger, acquisition or similar corporate transaction involving a member or members of the Peer Group in which a Peer Group member is the surviving entity and continues to be publicly traded, such surviving entity shall remain a Peer Group member; and (iii)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18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Percentile Rank</w:t>
      </w:r>
      <w:r>
        <w:rPr>
          <w:rFonts w:ascii="Times New Roman" w:cs="Times New Roman" w:eastAsia="Times New Roman" w:hAnsi="Times New Roman"/>
          <w:sz w:val="18"/>
          <w:szCs w:val="18"/>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Percentile Rank = (N - R + 1) ÷ N × 100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4"/>
          </w:cols>
          <w:pgMar w:left="436" w:top="266" w:right="459" w:bottom="1440" w:gutter="0" w:footer="0" w:header="0"/>
        </w:sectPr>
      </w:pPr>
    </w:p>
    <w:bookmarkStart w:id="34" w:name="page35"/>
    <w:bookmarkEnd w:id="34"/>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w:t>
      </w:r>
      <w:r>
        <w:rPr>
          <w:sz w:val="20"/>
          <w:szCs w:val="20"/>
          <w:color w:val="auto"/>
        </w:rPr>
        <w:tab/>
      </w:r>
      <w:r>
        <w:rPr>
          <w:rFonts w:ascii="Times New Roman" w:cs="Times New Roman" w:eastAsia="Times New Roman" w:hAnsi="Times New Roman"/>
          <w:sz w:val="17"/>
          <w:szCs w:val="17"/>
          <w:color w:val="auto"/>
        </w:rPr>
        <w:t>total number of companies in the Peer Group</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R = the numeric rank of the Company’s Total Shareholder Return relative to the Peer Group, where the highest Total Shareholder Return in the Peer Group is ranked number 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Percentile Rank shall be rounded to the nearest whole percentage, with (0.5) rounded up.</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To illustrate, if the Company’s Total Shareholder Return is the 25th highest in a Peer Group comprised of 100 companies, its Percentile Rank would be 76. The calculation is (100 - 25 + 1) ÷ 100 × 100 = 76.</w:t>
      </w:r>
    </w:p>
    <w:p>
      <w:pPr>
        <w:spacing w:after="0" w:line="158"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Shareholder Return</w:t>
      </w:r>
      <w:r>
        <w:rPr>
          <w:rFonts w:ascii="Times New Roman" w:cs="Times New Roman" w:eastAsia="Times New Roman" w:hAnsi="Times New Roman"/>
          <w:sz w:val="18"/>
          <w:szCs w:val="18"/>
          <w:color w:val="auto"/>
        </w:rPr>
        <w:t>” as of a given date means the percentage change in the value of the Common Stock or the common stock of a Peer Group company, as applicable, from the TSR Reference Price to the TSR Measurement Price on such date.</w:t>
      </w:r>
    </w:p>
    <w:p>
      <w:pPr>
        <w:spacing w:after="0" w:line="15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Measurement Price</w:t>
      </w:r>
      <w:r>
        <w:rPr>
          <w:rFonts w:ascii="Times New Roman" w:cs="Times New Roman" w:eastAsia="Times New Roman" w:hAnsi="Times New Roman"/>
          <w:sz w:val="18"/>
          <w:szCs w:val="18"/>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except as otherwise required as provided in Section C of this Annex A.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183" w:lineRule="exact"/>
        <w:rPr>
          <w:sz w:val="20"/>
          <w:szCs w:val="20"/>
          <w:color w:val="auto"/>
        </w:rPr>
      </w:pPr>
    </w:p>
    <w:p>
      <w:pPr>
        <w:ind w:left="440"/>
        <w:spacing w:after="0"/>
        <w:tabs>
          <w:tab w:leader="none" w:pos="32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Reference Date</w:t>
      </w:r>
      <w:r>
        <w:rPr>
          <w:rFonts w:ascii="Times New Roman" w:cs="Times New Roman" w:eastAsia="Times New Roman" w:hAnsi="Times New Roman"/>
          <w:sz w:val="18"/>
          <w:szCs w:val="18"/>
          <w:color w:val="auto"/>
        </w:rPr>
        <w:t>” shall mean [</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-5080</wp:posOffset>
            </wp:positionV>
            <wp:extent cx="114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Reference Price</w:t>
      </w:r>
      <w:r>
        <w:rPr>
          <w:rFonts w:ascii="Times New Roman" w:cs="Times New Roman" w:eastAsia="Times New Roman" w:hAnsi="Times New Roman"/>
          <w:sz w:val="18"/>
          <w:szCs w:val="18"/>
          <w:color w:val="auto"/>
        </w:rPr>
        <w:t>” means the average of the closing prices of the Common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Vesting Percentage</w:t>
      </w:r>
      <w:r>
        <w:rPr>
          <w:rFonts w:ascii="Times New Roman" w:cs="Times New Roman" w:eastAsia="Times New Roman" w:hAnsi="Times New Roman"/>
          <w:sz w:val="18"/>
          <w:szCs w:val="18"/>
          <w:color w:val="auto"/>
        </w:rPr>
        <w:t>” as of a given date is a function of the Company’s Percentile Rank among the Peer Group calculated as of such date, determined by reference to the following table:</w:t>
      </w:r>
    </w:p>
    <w:p>
      <w:pPr>
        <w:spacing w:after="0" w:line="179"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4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TSR Vesting Percentage</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40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50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75</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35" w:name="page36"/>
    <w:bookmarkEnd w:id="35"/>
    <w:p>
      <w:pPr>
        <w:ind w:left="840" w:hanging="404"/>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Recurrent Consumer Spending Performance-Based Units</w:t>
      </w:r>
      <w:r>
        <w:rPr>
          <w:rFonts w:ascii="Times New Roman" w:cs="Times New Roman" w:eastAsia="Times New Roman" w:hAnsi="Times New Roman"/>
          <w:sz w:val="18"/>
          <w:szCs w:val="18"/>
          <w:color w:val="auto"/>
        </w:rPr>
        <w:t>. The target number of Recurrent Consumer Spending Performance-Based Units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shall be eligible to vest pursuant to this Section B(ii) shall be [</w:t>
      </w:r>
      <w:r>
        <w:rPr>
          <w:rFonts w:ascii="Times New Roman" w:cs="Times New Roman" w:eastAsia="Times New Roman" w:hAnsi="Times New Roman"/>
          <w:sz w:val="17"/>
          <w:szCs w:val="17"/>
          <w:color w:val="auto"/>
        </w:rPr>
        <w:t>], and the maximum number of Recurrent Consumer Spending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-19050</wp:posOffset>
            </wp:positionV>
            <wp:extent cx="342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tabs>
          <w:tab w:leader="none" w:pos="6240" w:val="left"/>
        </w:tabs>
        <w:rPr>
          <w:sz w:val="20"/>
          <w:szCs w:val="20"/>
          <w:color w:val="auto"/>
        </w:rPr>
      </w:pPr>
      <w:r>
        <w:rPr>
          <w:rFonts w:ascii="Times New Roman" w:cs="Times New Roman" w:eastAsia="Times New Roman" w:hAnsi="Times New Roman"/>
          <w:sz w:val="18"/>
          <w:szCs w:val="18"/>
          <w:color w:val="auto"/>
        </w:rPr>
        <w:t>Based Units that shall be eligible to vest pursuant to this Section B(ii) shall be [</w:t>
      </w:r>
      <w:r>
        <w:rPr>
          <w:sz w:val="20"/>
          <w:szCs w:val="20"/>
          <w:color w:val="auto"/>
        </w:rPr>
        <w:tab/>
      </w:r>
      <w:r>
        <w:rPr>
          <w:rFonts w:ascii="Times New Roman" w:cs="Times New Roman" w:eastAsia="Times New Roman" w:hAnsi="Times New Roman"/>
          <w:sz w:val="17"/>
          <w:szCs w:val="17"/>
          <w:color w:val="auto"/>
        </w:rPr>
        <w:t>]. Subject to Section C, on the Performance Vesting Date,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3429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number of Recurrent Consumer Spending Performance-Based Units shall become vested equal to the product of (x) the target number of Recurrent Consumer Spending Performance-Based Units in such vesting tranche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Recurrent Consumer Spending Vesting Percentage as of the Performance Measurement Date, rounded down to the nearest whole Recurrent Consumer Spending Performance-Based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Recurrent Consumer Spending Performance-Based Units, the following definitions shall apply:</w:t>
      </w:r>
    </w:p>
    <w:p>
      <w:pPr>
        <w:spacing w:after="0" w:line="22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Recurrent Consumer Spending</w:t>
      </w:r>
      <w:r>
        <w:rPr>
          <w:rFonts w:ascii="Times New Roman" w:cs="Times New Roman" w:eastAsia="Times New Roman" w:hAnsi="Times New Roman"/>
          <w:sz w:val="18"/>
          <w:szCs w:val="18"/>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Recurrent Consumer Spending Vesting Percentage</w:t>
      </w:r>
      <w:r>
        <w:rPr>
          <w:rFonts w:ascii="Times New Roman" w:cs="Times New Roman" w:eastAsia="Times New Roman" w:hAnsi="Times New Roman"/>
          <w:sz w:val="18"/>
          <w:szCs w:val="18"/>
          <w:color w:val="auto"/>
        </w:rPr>
        <w:t>” is a function of the Company’s Recurrent Consumer Spending and is determined by reference to the following tables. The first table measures the percentage change between Recurrent Consumer Spending for the fiscal year ended March 31, 2022 and the two-year average Recurrent Consumer Spending for the fiscal years ending March 31, 2023 and March 31, 2024, while the second table measures two-year average Recurrent Consumer Spending for the fiscal years ending March 31, 2023 and March 31, 2024 as a percentage of two-year average total net bookings for the fiscal years ending March 31, 2023 and March 31, 2024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Absolute Recurrent Consumer Spending Growth</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Absolute Recurrent Consumer</w:t>
            </w:r>
          </w:p>
        </w:tc>
      </w:t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(during the relevant measurement period)</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Spending Vesting Percentage</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9%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0"/>
          </w:cols>
          <w:pgMar w:left="440" w:top="270" w:right="479" w:bottom="1440" w:gutter="0" w:footer="0" w:header="0"/>
        </w:sectPr>
      </w:pPr>
    </w:p>
    <w:bookmarkStart w:id="36" w:name="page37"/>
    <w:bookmarkEnd w:id="36"/>
    <w:tbl>
      <w:tblPr>
        <w:tblLayout w:type="fixed"/>
        <w:tblInd w:w="1764" w:type="dxa"/>
        <w:tblCellMar>
          <w:top w:w="0" w:type="dxa"/>
          <w:left w:w="0" w:type="dxa"/>
          <w:bottom w:w="0" w:type="dxa"/>
          <w:right w:w="0" w:type="dxa"/>
        </w:tblCellMar>
      </w:tblPr>
      <w:tr>
        <w:trPr>
          <w:trHeight w:val="161"/>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Relative Recurrent Consumer Spending (as a</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 Recurrent Consumer</w:t>
            </w:r>
          </w:p>
        </w:tc>
      </w:t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 of two-year average total net bookings)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Spending Vesting Percentage</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45%</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55%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line="266" w:lineRule="auto"/>
        <w:rPr>
          <w:sz w:val="20"/>
          <w:szCs w:val="20"/>
          <w:color w:val="auto"/>
        </w:rPr>
      </w:pPr>
      <w:r>
        <w:rPr>
          <w:rFonts w:ascii="Times New Roman" w:cs="Times New Roman" w:eastAsia="Times New Roman" w:hAnsi="Times New Roman"/>
          <w:sz w:val="18"/>
          <w:szCs w:val="18"/>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76" w:lineRule="exact"/>
        <w:rPr>
          <w:sz w:val="20"/>
          <w:szCs w:val="20"/>
          <w:color w:val="auto"/>
        </w:rPr>
      </w:pPr>
    </w:p>
    <w:p>
      <w:pPr>
        <w:ind w:left="344" w:hanging="344"/>
        <w:spacing w:after="0"/>
        <w:tabs>
          <w:tab w:leader="none" w:pos="3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72" w:lineRule="auto"/>
        <w:tabs>
          <w:tab w:leader="none" w:pos="79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In the event of a Qualifying Termination prior to the earlier of (x) the Vesting Date or (y) a Change in Control (as defined in the Management Agreement): (a) the effective date of such Qualifying Termination shall serve as the Time Vesting Date for all Time-Based Units hereunder, and all such Time-Based Units shall vest as of such date; (b) the effective date of such Qualifying Termination shall serve as the Performance Vesting Date for all TSR Performance-Based Units hereunder and the given date for purposes of the TSR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Performance Vesting Date for all Recurrent Consumer Spending Performance-Based Units hereunder, and the target number of such Recurrent Consumer Spending Performance-Based Units (as set forth in Section B(ii)) shall vest as of such date without regard to the application of the Applicable Vesting Percentage.</w:t>
      </w:r>
    </w:p>
    <w:p>
      <w:pPr>
        <w:spacing w:after="0" w:line="171" w:lineRule="exact"/>
        <w:rPr>
          <w:rFonts w:ascii="Times New Roman" w:cs="Times New Roman" w:eastAsia="Times New Roman" w:hAnsi="Times New Roman"/>
          <w:sz w:val="17"/>
          <w:szCs w:val="17"/>
          <w:color w:val="auto"/>
        </w:rPr>
      </w:pPr>
    </w:p>
    <w:p>
      <w:pPr>
        <w:ind w:left="844" w:hanging="404"/>
        <w:spacing w:after="0"/>
        <w:tabs>
          <w:tab w:leader="none" w:pos="8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 Change in Control occurs while the Management Agreement remains in effect, in any case prior to the earlier of</w:t>
      </w:r>
    </w:p>
    <w:p>
      <w:pPr>
        <w:spacing w:after="0" w:line="27" w:lineRule="exact"/>
        <w:rPr>
          <w:sz w:val="20"/>
          <w:szCs w:val="20"/>
          <w:color w:val="auto"/>
        </w:rPr>
      </w:pPr>
    </w:p>
    <w:p>
      <w:pPr>
        <w:ind w:left="4" w:right="120" w:hanging="4"/>
        <w:spacing w:after="0" w:line="251"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Date or (y) a Qualifying Termination, all Time-Based Units and the target number of Performance-Based Units (as set forth in Sections B(i) and B(ii) as applicable) shall remain eligible to vest and shall vest (without regard to the application of the Applicable Vesting Percentage, in the case of Performance-Based Units), in each case, as of the earlier of (a) a Qualifying Termination or (b) the Vesting Date. Each Restricted Unit that remains eligible to vest following a Change in Control pursuant to the foregoing sentence shall be referred to as a “</w:t>
      </w:r>
      <w:r>
        <w:rPr>
          <w:rFonts w:ascii="Times New Roman" w:cs="Times New Roman" w:eastAsia="Times New Roman" w:hAnsi="Times New Roman"/>
          <w:sz w:val="18"/>
          <w:szCs w:val="18"/>
          <w:b w:val="1"/>
          <w:bCs w:val="1"/>
          <w:color w:val="auto"/>
        </w:rPr>
        <w:t>Vesting-Eligible Unit</w:t>
      </w:r>
      <w:r>
        <w:rPr>
          <w:rFonts w:ascii="Times New Roman" w:cs="Times New Roman" w:eastAsia="Times New Roman" w:hAnsi="Times New Roman"/>
          <w:sz w:val="18"/>
          <w:szCs w:val="18"/>
          <w:color w:val="auto"/>
        </w:rPr>
        <w:t>.” Upon the occurrence of a Change in Control, each Vesting-Eligible Unit shall be converted into an amount in cash equal to the Market Value (as defined in the Management Agreement) of the consideration payable in the Change in Control in respect of each such Vesting-Eligible Unit, and such consideration shall be paid to the Participant promptly following the satisfaction of the vesting conditions set forth in this Section C(ii)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in full on the Vesting Date, or if earlier, upon a Qualifying Termination), and shall automatically be forfeited and shall revert back to the Company if such vesting conditions are not satisfied.</w:t>
      </w:r>
    </w:p>
    <w:p>
      <w:pPr>
        <w:spacing w:after="0" w:line="193" w:lineRule="exact"/>
        <w:rPr>
          <w:sz w:val="20"/>
          <w:szCs w:val="20"/>
          <w:color w:val="auto"/>
        </w:rPr>
      </w:pPr>
    </w:p>
    <w:p>
      <w:pPr>
        <w:ind w:left="364" w:hanging="364"/>
        <w:spacing w:after="0"/>
        <w:tabs>
          <w:tab w:leader="none" w:pos="3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4"/>
          </w:cols>
          <w:pgMar w:left="436" w:top="251" w:right="479" w:bottom="1440" w:gutter="0" w:footer="0" w:header="0"/>
        </w:sectPr>
      </w:pPr>
    </w:p>
    <w:bookmarkStart w:id="37" w:name="page38"/>
    <w:bookmarkEnd w:id="37"/>
    <w:p>
      <w:pPr>
        <w:ind w:left="4" w:right="600" w:firstLine="436"/>
        <w:spacing w:after="0" w:line="282" w:lineRule="auto"/>
        <w:tabs>
          <w:tab w:leader="none" w:pos="7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61" w:lineRule="exact"/>
        <w:rPr>
          <w:rFonts w:ascii="Times New Roman" w:cs="Times New Roman" w:eastAsia="Times New Roman" w:hAnsi="Times New Roman"/>
          <w:sz w:val="18"/>
          <w:szCs w:val="18"/>
          <w:color w:val="auto"/>
        </w:rPr>
      </w:pPr>
    </w:p>
    <w:p>
      <w:pPr>
        <w:ind w:left="4" w:right="340" w:firstLine="436"/>
        <w:spacing w:after="0" w:line="261" w:lineRule="auto"/>
        <w:tabs>
          <w:tab w:leader="none" w:pos="8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Performance-Based Units that (x) have not vested as of the earlier of (a) the Vesting Date or (b) the effective date of a Qualifying Termination, or (y) do not become Vesting-Eligible Units upon the occurrence of a Change in Control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any Performance-Based Units above the target numbers set forth in Sections B(i) and B(ii) as applicable), shall automatically be forfeited and shall revert back to the Company without compensation to the Participant.</w:t>
      </w:r>
    </w:p>
    <w:p>
      <w:pPr>
        <w:spacing w:after="0" w:line="179" w:lineRule="exact"/>
        <w:rPr>
          <w:rFonts w:ascii="Times New Roman" w:cs="Times New Roman" w:eastAsia="Times New Roman" w:hAnsi="Times New Roman"/>
          <w:sz w:val="18"/>
          <w:szCs w:val="18"/>
          <w:color w:val="auto"/>
        </w:rPr>
      </w:pPr>
    </w:p>
    <w:p>
      <w:pPr>
        <w:ind w:left="4" w:hanging="4"/>
        <w:spacing w:after="0" w:line="252" w:lineRule="auto"/>
        <w:tabs>
          <w:tab w:leader="none" w:pos="3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9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70" w:right="479" w:bottom="1440" w:gutter="0" w:footer="0" w:header="0"/>
        </w:sectPr>
      </w:pPr>
    </w:p>
    <w:bookmarkStart w:id="38" w:name="page39"/>
    <w:bookmarkEnd w:id="38"/>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Vesting Percentage</w:t>
      </w:r>
      <w:r>
        <w:rPr>
          <w:rFonts w:ascii="Times New Roman" w:cs="Times New Roman" w:eastAsia="Times New Roman" w:hAnsi="Times New Roman"/>
          <w:sz w:val="18"/>
          <w:szCs w:val="18"/>
          <w:color w:val="auto"/>
        </w:rPr>
        <w:t>” means (i) with respect to TSR Performance-Based Units, the TSR Vesting Percentage, and (ii) with respect to Recurrent Consumer Spending Performance-Based Units, the Recurrent Consumer Spending Vesting Percentage.</w:t>
      </w:r>
    </w:p>
    <w:p>
      <w:pPr>
        <w:spacing w:after="0" w:line="155" w:lineRule="exact"/>
        <w:rPr>
          <w:sz w:val="20"/>
          <w:szCs w:val="20"/>
          <w:color w:val="auto"/>
        </w:rPr>
      </w:pPr>
    </w:p>
    <w:p>
      <w:pPr>
        <w:ind w:left="440"/>
        <w:spacing w:after="0"/>
        <w:tabs>
          <w:tab w:leader="none" w:pos="4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Measurement Date</w:t>
      </w:r>
      <w:r>
        <w:rPr>
          <w:rFonts w:ascii="Times New Roman" w:cs="Times New Roman" w:eastAsia="Times New Roman" w:hAnsi="Times New Roman"/>
          <w:sz w:val="18"/>
          <w:szCs w:val="18"/>
          <w:color w:val="auto"/>
        </w:rPr>
        <w:t>” shall mean [</w:t>
        <w:tab/>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-5080</wp:posOffset>
            </wp:positionV>
            <wp:extent cx="114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37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Vesting Date</w:t>
      </w:r>
      <w:r>
        <w:rPr>
          <w:rFonts w:ascii="Times New Roman" w:cs="Times New Roman" w:eastAsia="Times New Roman" w:hAnsi="Times New Roman"/>
          <w:sz w:val="18"/>
          <w:szCs w:val="18"/>
          <w:color w:val="auto"/>
        </w:rPr>
        <w:t>” shall mean [</w:t>
      </w:r>
      <w:r>
        <w:rPr>
          <w:sz w:val="20"/>
          <w:szCs w:val="20"/>
          <w:color w:val="auto"/>
        </w:rPr>
        <w:tab/>
      </w:r>
      <w:r>
        <w:rPr>
          <w:rFonts w:ascii="Times New Roman" w:cs="Times New Roman" w:eastAsia="Times New Roman" w:hAnsi="Times New Roman"/>
          <w:sz w:val="17"/>
          <w:szCs w:val="17"/>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-5080</wp:posOffset>
            </wp:positionV>
            <wp:extent cx="114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79" w:lineRule="exact"/>
        <w:rPr>
          <w:sz w:val="20"/>
          <w:szCs w:val="20"/>
          <w:color w:val="auto"/>
        </w:rPr>
      </w:pPr>
    </w:p>
    <w:p>
      <w:pPr>
        <w:ind w:left="440"/>
        <w:spacing w:after="0"/>
        <w:tabs>
          <w:tab w:leader="none" w:pos="49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Time-Based Vesting Commencement Date</w:t>
      </w:r>
      <w:r>
        <w:rPr>
          <w:rFonts w:ascii="Times New Roman" w:cs="Times New Roman" w:eastAsia="Times New Roman" w:hAnsi="Times New Roman"/>
          <w:sz w:val="18"/>
          <w:szCs w:val="18"/>
          <w:color w:val="auto"/>
        </w:rPr>
        <w:t>” shall mean [</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-5080</wp:posOffset>
            </wp:positionV>
            <wp:extent cx="114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shall mean, as context requires, one or more Time Vesting Dates and/or the Performance Vesting Date.</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66" w:right="4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203"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This Restricted Unit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 is made by and between Take-Two Interactive Software,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ZelnickMedia Corporation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-186690</wp:posOffset>
            </wp:positionV>
            <wp:extent cx="1143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adopted the Take-Two Interactive Software, Inc. 2017 Stock Incentive Plan (as amended and restated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 copy of which has been delivered to the Participant, which is administered by a committee appointed by the Company’s Board of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7 of the Plan, the Committee may grant restricted stock units (“</w:t>
      </w:r>
      <w:r>
        <w:rPr>
          <w:rFonts w:ascii="Times New Roman" w:cs="Times New Roman" w:eastAsia="Times New Roman" w:hAnsi="Times New Roman"/>
          <w:sz w:val="18"/>
          <w:szCs w:val="18"/>
          <w:b w:val="1"/>
          <w:bCs w:val="1"/>
          <w:color w:val="auto"/>
        </w:rPr>
        <w:t>Restricted Units</w:t>
      </w:r>
      <w:r>
        <w:rPr>
          <w:rFonts w:ascii="Times New Roman" w:cs="Times New Roman" w:eastAsia="Times New Roman" w:hAnsi="Times New Roman"/>
          <w:sz w:val="18"/>
          <w:szCs w:val="18"/>
          <w:color w:val="auto"/>
        </w:rPr>
        <w:t>”), each representing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one (1) share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of the Company’s common stock, par value $0.01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the cash value of one (1) share of Common Stock, as determined by the Committee, on a specified settlement date, to Consultants; and</w:t>
      </w:r>
    </w:p>
    <w:p>
      <w:pPr>
        <w:spacing w:after="0" w:line="171"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Management Agreement between the Participant and the Company, dated as of , and effective as of __</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the Company has agreed to grant Restricted Units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5266690</wp:posOffset>
            </wp:positionH>
            <wp:positionV relativeFrom="paragraph">
              <wp:posOffset>-186690</wp:posOffset>
            </wp:positionV>
            <wp:extent cx="114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promises herein contained,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155" w:lineRule="exact"/>
        <w:rPr>
          <w:sz w:val="20"/>
          <w:szCs w:val="20"/>
          <w:color w:val="auto"/>
        </w:rPr>
      </w:pPr>
    </w:p>
    <w:p>
      <w:pPr>
        <w:ind w:left="760" w:hanging="324"/>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terms and conditions of this Agreement, the Company hereby awards to the Participant</w:t>
      </w:r>
    </w:p>
    <w:p>
      <w:pPr>
        <w:spacing w:after="0" w:line="31"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for purposes of this Section 1,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 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8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Units shall become vested and settled in accordance with the terms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-2199640</wp:posOffset>
            </wp:positionV>
            <wp:extent cx="3429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40" w:name="page41"/>
    <w:bookmarkEnd w:id="40"/>
    <w:p>
      <w:pPr>
        <w:ind w:firstLine="436"/>
        <w:spacing w:after="0" w:line="286" w:lineRule="auto"/>
        <w:tabs>
          <w:tab w:leader="none" w:pos="7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shall be solely responsible for all applicable federal, state, local, and foreign taxes the Participant incurs from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of the Restricted Units.</w:t>
      </w:r>
    </w:p>
    <w:p>
      <w:pPr>
        <w:spacing w:after="0" w:line="154" w:lineRule="exact"/>
        <w:rPr>
          <w:rFonts w:ascii="Times New Roman" w:cs="Times New Roman" w:eastAsia="Times New Roman" w:hAnsi="Times New Roman"/>
          <w:sz w:val="18"/>
          <w:szCs w:val="18"/>
          <w:color w:val="auto"/>
        </w:rPr>
      </w:pPr>
    </w:p>
    <w:p>
      <w:pPr>
        <w:ind w:right="160" w:firstLine="436"/>
        <w:spacing w:after="0" w:line="262" w:lineRule="auto"/>
        <w:tabs>
          <w:tab w:leader="none" w:pos="7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Obligation to Continue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not an agreement of consultancy. This Agreement does not guarantee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76" w:lineRule="exact"/>
        <w:rPr>
          <w:rFonts w:ascii="Times New Roman" w:cs="Times New Roman" w:eastAsia="Times New Roman" w:hAnsi="Times New Roman"/>
          <w:sz w:val="18"/>
          <w:szCs w:val="18"/>
          <w:color w:val="auto"/>
        </w:rPr>
      </w:pPr>
    </w:p>
    <w:p>
      <w:pPr>
        <w:ind w:right="40" w:firstLine="436"/>
        <w:spacing w:after="0" w:line="256" w:lineRule="auto"/>
        <w:tabs>
          <w:tab w:leader="none" w:pos="7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successors and assigns, is hereby appointed the attorney-in-fact, with full power of substitution,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82" w:lineRule="exact"/>
        <w:rPr>
          <w:rFonts w:ascii="Times New Roman" w:cs="Times New Roman" w:eastAsia="Times New Roman" w:hAnsi="Times New Roman"/>
          <w:sz w:val="18"/>
          <w:szCs w:val="18"/>
          <w:color w:val="auto"/>
        </w:rPr>
      </w:pPr>
    </w:p>
    <w:p>
      <w:pPr>
        <w:ind w:right="40" w:firstLine="436"/>
        <w:spacing w:after="0" w:line="262" w:lineRule="auto"/>
        <w:tabs>
          <w:tab w:leader="none" w:pos="7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else herein, to the extent permitted under applicable law, the Company may issue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76" w:lineRule="exact"/>
        <w:rPr>
          <w:rFonts w:ascii="Times New Roman" w:cs="Times New Roman" w:eastAsia="Times New Roman" w:hAnsi="Times New Roman"/>
          <w:sz w:val="18"/>
          <w:szCs w:val="18"/>
          <w:color w:val="auto"/>
        </w:rPr>
      </w:pPr>
    </w:p>
    <w:p>
      <w:pPr>
        <w:ind w:right="20" w:firstLine="436"/>
        <w:spacing w:after="0" w:line="256" w:lineRule="auto"/>
        <w:tabs>
          <w:tab w:leader="none" w:pos="7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subject to all the terms, conditions, and provisions of the Plan,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182" w:lineRule="exact"/>
        <w:rPr>
          <w:rFonts w:ascii="Times New Roman" w:cs="Times New Roman" w:eastAsia="Times New Roman" w:hAnsi="Times New Roman"/>
          <w:sz w:val="18"/>
          <w:szCs w:val="18"/>
          <w:color w:val="auto"/>
        </w:rPr>
      </w:pPr>
    </w:p>
    <w:p>
      <w:pPr>
        <w:ind w:right="320" w:firstLine="436"/>
        <w:spacing w:after="0" w:line="286" w:lineRule="auto"/>
        <w:tabs>
          <w:tab w:leader="none" w:pos="7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Company shall make any adjustments to the Restricted Units upon any changes in capital structure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Committee in good faith and in a manner consistent with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1" w:name="page42"/>
    <w:bookmarkEnd w:id="41"/>
    <w:p>
      <w:pPr>
        <w:ind w:firstLine="436"/>
        <w:spacing w:after="0" w:line="268" w:lineRule="auto"/>
        <w:tabs>
          <w:tab w:leader="none" w:pos="7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or communication given hereunder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in writing and shall be sent by personal delivery, by courier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United States mail (registered or certified mail, postage prepaid and return receipt requested), to the appropriate party at the address set forth below:</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(646) 536-3001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Participant,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ZelnickMedia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East 59th Street, 24th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(212) 223-1383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Strauss Zelnick</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58" w:lineRule="exact"/>
        <w:rPr>
          <w:sz w:val="20"/>
          <w:szCs w:val="20"/>
          <w:color w:val="auto"/>
        </w:rPr>
      </w:pPr>
    </w:p>
    <w:p>
      <w:pPr>
        <w:ind w:right="100" w:firstLine="436"/>
        <w:spacing w:after="0" w:line="262" w:lineRule="auto"/>
        <w:tabs>
          <w:tab w:leader="none" w:pos="8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questions concerning the construction, validity, and interpretation of this Agreement will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6" w:lineRule="exact"/>
        <w:rPr>
          <w:rFonts w:ascii="Times New Roman" w:cs="Times New Roman" w:eastAsia="Times New Roman" w:hAnsi="Times New Roman"/>
          <w:sz w:val="18"/>
          <w:szCs w:val="18"/>
          <w:color w:val="auto"/>
        </w:rPr>
      </w:pPr>
    </w:p>
    <w:p>
      <w:pPr>
        <w:ind w:firstLine="436"/>
        <w:spacing w:after="0" w:line="252" w:lineRule="auto"/>
        <w:tabs>
          <w:tab w:leader="none" w:pos="8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the Plan to the contrary, in the event of any dispute, controversy, or claim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 and the Participant in any way concerning, arising out of or relating to the Plan or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Times New Roman" w:cs="Times New Roman" w:eastAsia="Times New Roman" w:hAnsi="Times New Roman"/>
          <w:sz w:val="18"/>
          <w:szCs w:val="18"/>
          <w:b w:val="1"/>
          <w:bCs w:val="1"/>
          <w:color w:val="auto"/>
        </w:rPr>
        <w:t>Agreed Venue</w:t>
      </w:r>
      <w:r>
        <w:rPr>
          <w:rFonts w:ascii="Times New Roman" w:cs="Times New Roman" w:eastAsia="Times New Roman" w:hAnsi="Times New Roman"/>
          <w:sz w:val="18"/>
          <w:szCs w:val="18"/>
          <w:color w:val="auto"/>
        </w:rPr>
        <w:t>”) for resolution of any such Dispute, (b) 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 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94" w:lineRule="exact"/>
        <w:rPr>
          <w:rFonts w:ascii="Times New Roman" w:cs="Times New Roman" w:eastAsia="Times New Roman" w:hAnsi="Times New Roman"/>
          <w:sz w:val="18"/>
          <w:szCs w:val="18"/>
          <w:color w:val="auto"/>
        </w:rPr>
      </w:pPr>
    </w:p>
    <w:p>
      <w:pPr>
        <w:ind w:right="480" w:firstLine="436"/>
        <w:spacing w:after="0" w:line="286" w:lineRule="auto"/>
        <w:tabs>
          <w:tab w:leader="none" w:pos="8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(including by facsimile transmission) with counterpart signature pages or in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an original and all of which taken together shall constitute one and the same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2" w:name="page43"/>
    <w:bookmarkEnd w:id="42"/>
    <w:p>
      <w:pPr>
        <w:ind w:firstLine="436"/>
        <w:spacing w:after="0" w:line="262" w:lineRule="auto"/>
        <w:tabs>
          <w:tab w:leader="none" w:pos="8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subject to the terms of the Plan, at any time and from time to time amend, in whole or in part,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76"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220" w:firstLine="987"/>
        <w:spacing w:after="0" w:line="282" w:lineRule="auto"/>
        <w:tabs>
          <w:tab w:leader="none" w:pos="13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heirs, legal representatives, successors, and assigns.</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3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3" w:name="page44"/>
    <w:bookmarkEnd w:id="43"/>
    <w:p>
      <w:pPr>
        <w:ind w:left="-20" w:firstLine="987"/>
        <w:spacing w:after="0" w:line="255" w:lineRule="auto"/>
        <w:tabs>
          <w:tab w:leader="none" w:pos="13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 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date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Daniel P. Emerson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ZELNICKMEDIA CORPORATION</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00"/>
          </w:cols>
          <w:pgMar w:left="880" w:top="270" w:right="1019" w:bottom="1440" w:gutter="0" w:footer="0" w:header="0"/>
        </w:sectPr>
      </w:pPr>
    </w:p>
    <w:bookmarkStart w:id="45" w:name="page46"/>
    <w:bookmarkEnd w:id="45"/>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ind w:left="364" w:hanging="364"/>
        <w:spacing w:after="0"/>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Time-Based Vesting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Subject to Section C, [ ] of the Restricted Units (the “</w:t>
      </w:r>
      <w:r>
        <w:rPr>
          <w:rFonts w:ascii="Times New Roman" w:cs="Times New Roman" w:eastAsia="Times New Roman" w:hAnsi="Times New Roman"/>
          <w:sz w:val="18"/>
          <w:szCs w:val="18"/>
          <w:b w:val="1"/>
          <w:bCs w:val="1"/>
          <w:color w:val="auto"/>
        </w:rPr>
        <w:t>Time-Based Units</w:t>
      </w:r>
      <w:r>
        <w:rPr>
          <w:rFonts w:ascii="Times New Roman" w:cs="Times New Roman" w:eastAsia="Times New Roman" w:hAnsi="Times New Roman"/>
          <w:sz w:val="18"/>
          <w:szCs w:val="18"/>
          <w:color w:val="auto"/>
        </w:rPr>
        <w:t>”) shall become vested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anniversary of the Time-Based Vesting Commencement Date (such vesting date, the “</w:t>
      </w:r>
      <w:r>
        <w:rPr>
          <w:rFonts w:ascii="Times New Roman" w:cs="Times New Roman" w:eastAsia="Times New Roman" w:hAnsi="Times New Roman"/>
          <w:sz w:val="18"/>
          <w:szCs w:val="18"/>
          <w:b w:val="1"/>
          <w:bCs w:val="1"/>
          <w:color w:val="auto"/>
        </w:rPr>
        <w:t>Time Vesting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-186690</wp:posOffset>
            </wp:positionV>
            <wp:extent cx="3429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9" w:lineRule="exact"/>
        <w:rPr>
          <w:sz w:val="20"/>
          <w:szCs w:val="20"/>
          <w:color w:val="auto"/>
        </w:rPr>
      </w:pPr>
    </w:p>
    <w:p>
      <w:pPr>
        <w:ind w:left="344" w:hanging="344"/>
        <w:spacing w:after="0"/>
        <w:tabs>
          <w:tab w:leader="none" w:pos="3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Subject to Section C, certain of the Restricted Units shall be subject to performance-based vesting in accordance with Section (B)(i) (the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Performance-Based Units</w:t>
      </w:r>
      <w:r>
        <w:rPr>
          <w:rFonts w:ascii="Times New Roman" w:cs="Times New Roman" w:eastAsia="Times New Roman" w:hAnsi="Times New Roman"/>
          <w:sz w:val="18"/>
          <w:szCs w:val="18"/>
          <w:color w:val="auto"/>
        </w:rPr>
        <w:t>”), and Section (B)(ii) (the “</w:t>
      </w:r>
      <w:r>
        <w:rPr>
          <w:rFonts w:ascii="Times New Roman" w:cs="Times New Roman" w:eastAsia="Times New Roman" w:hAnsi="Times New Roman"/>
          <w:sz w:val="18"/>
          <w:szCs w:val="18"/>
          <w:b w:val="1"/>
          <w:bCs w:val="1"/>
          <w:color w:val="auto"/>
        </w:rPr>
        <w:t>Recurrent Consumer Spending Performance-Based Units</w:t>
      </w:r>
      <w:r>
        <w:rPr>
          <w:rFonts w:ascii="Times New Roman" w:cs="Times New Roman" w:eastAsia="Times New Roman" w:hAnsi="Times New Roman"/>
          <w:sz w:val="18"/>
          <w:szCs w:val="18"/>
          <w:color w:val="auto"/>
        </w:rPr>
        <w:t>” and together with the TSR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Performance-Based Units, the “</w:t>
      </w:r>
      <w:r>
        <w:rPr>
          <w:rFonts w:ascii="Times New Roman" w:cs="Times New Roman" w:eastAsia="Times New Roman" w:hAnsi="Times New Roman"/>
          <w:sz w:val="18"/>
          <w:szCs w:val="18"/>
          <w:b w:val="1"/>
          <w:bCs w:val="1"/>
          <w:color w:val="auto"/>
        </w:rPr>
        <w:t>Performance-Based Units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784" w:hanging="344"/>
        <w:spacing w:after="0"/>
        <w:tabs>
          <w:tab w:leader="none" w:pos="7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TSR Performance-Based Units</w:t>
      </w:r>
      <w:r>
        <w:rPr>
          <w:rFonts w:ascii="Times New Roman" w:cs="Times New Roman" w:eastAsia="Times New Roman" w:hAnsi="Times New Roman"/>
          <w:sz w:val="18"/>
          <w:szCs w:val="18"/>
          <w:color w:val="auto"/>
        </w:rPr>
        <w:t>. The target number of TSR Performance-Based Units that shall be eligible to vest pursuant to this Section B(i)</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w:t>
      </w:r>
      <w:r>
        <w:rPr>
          <w:rFonts w:ascii="Times New Roman" w:cs="Times New Roman" w:eastAsia="Times New Roman" w:hAnsi="Times New Roman"/>
          <w:sz w:val="17"/>
          <w:szCs w:val="17"/>
          <w:color w:val="auto"/>
        </w:rPr>
        <w:t>], and the maximum number of TSR Performance-Based Units that shall be eligible to vest pursuant to this Section B(i) shall be</w:t>
      </w:r>
    </w:p>
    <w:p>
      <w:pPr>
        <w:spacing w:after="0" w:line="9"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Subject to Section C, on the Performance Vesting Date, a number of TSR Performance-Based Units shall become vested equal to the product of (x) the target number of TSR Performance-Based Units eligible to vest pursuant to this Section B(i)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TSR Vesting Percentage as of the Performance Measurement Date, rounded down to the nearest whole TSR Performance-Based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-443865</wp:posOffset>
            </wp:positionV>
            <wp:extent cx="3429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-306705</wp:posOffset>
            </wp:positionV>
            <wp:extent cx="342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the TSR Performance-Based Units, the following definitions shall apply:</w:t>
      </w:r>
    </w:p>
    <w:p>
      <w:pPr>
        <w:spacing w:after="0" w:line="22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Peer Group</w:t>
      </w:r>
      <w:r>
        <w:rPr>
          <w:rFonts w:ascii="Times New Roman" w:cs="Times New Roman" w:eastAsia="Times New Roman" w:hAnsi="Times New Roman"/>
          <w:sz w:val="18"/>
          <w:szCs w:val="18"/>
          <w:color w:val="auto"/>
        </w:rPr>
        <w:t xml:space="preserve">” shall consist of the companies that comprise The NASDAQ-100 Index on the TSR Reference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subject to clause (iii)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 in the event of a merger, acquisition or similar corporate transaction involving a member or members of the Peer Group in which a Peer Group member is the surviving entity and continues to be publicly traded, such surviving entity shall remain a Peer Group member; and (iii)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18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Percentile Rank</w:t>
      </w:r>
      <w:r>
        <w:rPr>
          <w:rFonts w:ascii="Times New Roman" w:cs="Times New Roman" w:eastAsia="Times New Roman" w:hAnsi="Times New Roman"/>
          <w:sz w:val="18"/>
          <w:szCs w:val="18"/>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Percentile Rank = (N - R + 1) ÷ N × 100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4"/>
          </w:cols>
          <w:pgMar w:left="436" w:top="266" w:right="459" w:bottom="1440" w:gutter="0" w:footer="0" w:header="0"/>
        </w:sectPr>
      </w:pPr>
    </w:p>
    <w:bookmarkStart w:id="46" w:name="page47"/>
    <w:bookmarkEnd w:id="46"/>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w:t>
      </w:r>
      <w:r>
        <w:rPr>
          <w:sz w:val="20"/>
          <w:szCs w:val="20"/>
          <w:color w:val="auto"/>
        </w:rPr>
        <w:tab/>
      </w:r>
      <w:r>
        <w:rPr>
          <w:rFonts w:ascii="Times New Roman" w:cs="Times New Roman" w:eastAsia="Times New Roman" w:hAnsi="Times New Roman"/>
          <w:sz w:val="17"/>
          <w:szCs w:val="17"/>
          <w:color w:val="auto"/>
        </w:rPr>
        <w:t>total number of companies in the Peer Group</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R = the numeric rank of the Company’s Total Shareholder Return relative to the Peer Group, where the highest Total Shareholder Return in the Peer Group is ranked number 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Percentile Rank shall be rounded to the nearest whole percentage, with (0.5) rounded up.</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To illustrate, if the Company’s Total Shareholder Return is the 25th highest in a Peer Group comprised of 100 companies, its Percentile Rank would be 76. The calculation is (100 - 25 + 1) ÷ 100 × 100 = 76.</w:t>
      </w:r>
    </w:p>
    <w:p>
      <w:pPr>
        <w:spacing w:after="0" w:line="158"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Shareholder Return</w:t>
      </w:r>
      <w:r>
        <w:rPr>
          <w:rFonts w:ascii="Times New Roman" w:cs="Times New Roman" w:eastAsia="Times New Roman" w:hAnsi="Times New Roman"/>
          <w:sz w:val="18"/>
          <w:szCs w:val="18"/>
          <w:color w:val="auto"/>
        </w:rPr>
        <w:t>” as of a given date means the percentage change in the value of the Common Stock or the common stock of a Peer Group company, as applicable, from the TSR Reference Price to the TSR Measurement Price on such date.</w:t>
      </w:r>
    </w:p>
    <w:p>
      <w:pPr>
        <w:spacing w:after="0" w:line="15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Measurement Price</w:t>
      </w:r>
      <w:r>
        <w:rPr>
          <w:rFonts w:ascii="Times New Roman" w:cs="Times New Roman" w:eastAsia="Times New Roman" w:hAnsi="Times New Roman"/>
          <w:sz w:val="18"/>
          <w:szCs w:val="18"/>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except as otherwise required as provided in Section C of this Annex A.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183" w:lineRule="exact"/>
        <w:rPr>
          <w:sz w:val="20"/>
          <w:szCs w:val="20"/>
          <w:color w:val="auto"/>
        </w:rPr>
      </w:pPr>
    </w:p>
    <w:p>
      <w:pPr>
        <w:ind w:left="440"/>
        <w:spacing w:after="0"/>
        <w:tabs>
          <w:tab w:leader="none" w:pos="32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Reference Date</w:t>
      </w:r>
      <w:r>
        <w:rPr>
          <w:rFonts w:ascii="Times New Roman" w:cs="Times New Roman" w:eastAsia="Times New Roman" w:hAnsi="Times New Roman"/>
          <w:sz w:val="18"/>
          <w:szCs w:val="18"/>
          <w:color w:val="auto"/>
        </w:rPr>
        <w:t>” shall mean [</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-5080</wp:posOffset>
            </wp:positionV>
            <wp:extent cx="114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Reference Price</w:t>
      </w:r>
      <w:r>
        <w:rPr>
          <w:rFonts w:ascii="Times New Roman" w:cs="Times New Roman" w:eastAsia="Times New Roman" w:hAnsi="Times New Roman"/>
          <w:sz w:val="18"/>
          <w:szCs w:val="18"/>
          <w:color w:val="auto"/>
        </w:rPr>
        <w:t>” means the average of the closing prices of the Common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Vesting Percentage</w:t>
      </w:r>
      <w:r>
        <w:rPr>
          <w:rFonts w:ascii="Times New Roman" w:cs="Times New Roman" w:eastAsia="Times New Roman" w:hAnsi="Times New Roman"/>
          <w:sz w:val="18"/>
          <w:szCs w:val="18"/>
          <w:color w:val="auto"/>
        </w:rPr>
        <w:t>” as of a given date is a function of the Company’s Percentile Rank among the Peer Group calculated as of such date, determined by reference to the following table:</w:t>
      </w:r>
    </w:p>
    <w:p>
      <w:pPr>
        <w:spacing w:after="0" w:line="179"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4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TSR Vesting Percentage</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40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50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75</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47" w:name="page48"/>
    <w:bookmarkEnd w:id="47"/>
    <w:p>
      <w:pPr>
        <w:ind w:left="840" w:hanging="404"/>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Recurrent Consumer Spending Performance-Based Units</w:t>
      </w:r>
      <w:r>
        <w:rPr>
          <w:rFonts w:ascii="Times New Roman" w:cs="Times New Roman" w:eastAsia="Times New Roman" w:hAnsi="Times New Roman"/>
          <w:sz w:val="18"/>
          <w:szCs w:val="18"/>
          <w:color w:val="auto"/>
        </w:rPr>
        <w:t>. The target number of Recurrent Consumer Spending Performance-Based Units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shall be eligible to vest pursuant to this Section B(ii) shall be [</w:t>
      </w:r>
      <w:r>
        <w:rPr>
          <w:rFonts w:ascii="Times New Roman" w:cs="Times New Roman" w:eastAsia="Times New Roman" w:hAnsi="Times New Roman"/>
          <w:sz w:val="17"/>
          <w:szCs w:val="17"/>
          <w:color w:val="auto"/>
        </w:rPr>
        <w:t>], and the maximum number of Recurrent Consumer Spending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-19050</wp:posOffset>
            </wp:positionV>
            <wp:extent cx="3429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tabs>
          <w:tab w:leader="none" w:pos="6240" w:val="left"/>
        </w:tabs>
        <w:rPr>
          <w:sz w:val="20"/>
          <w:szCs w:val="20"/>
          <w:color w:val="auto"/>
        </w:rPr>
      </w:pPr>
      <w:r>
        <w:rPr>
          <w:rFonts w:ascii="Times New Roman" w:cs="Times New Roman" w:eastAsia="Times New Roman" w:hAnsi="Times New Roman"/>
          <w:sz w:val="18"/>
          <w:szCs w:val="18"/>
          <w:color w:val="auto"/>
        </w:rPr>
        <w:t>Based Units that shall be eligible to vest pursuant to this Section B(ii) shall be [</w:t>
      </w:r>
      <w:r>
        <w:rPr>
          <w:sz w:val="20"/>
          <w:szCs w:val="20"/>
          <w:color w:val="auto"/>
        </w:rPr>
        <w:tab/>
      </w:r>
      <w:r>
        <w:rPr>
          <w:rFonts w:ascii="Times New Roman" w:cs="Times New Roman" w:eastAsia="Times New Roman" w:hAnsi="Times New Roman"/>
          <w:sz w:val="17"/>
          <w:szCs w:val="17"/>
          <w:color w:val="auto"/>
        </w:rPr>
        <w:t>]. Subject to Section C, on the Performance Vesting Date,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3429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number of Recurrent Consumer Spending Performance-Based Units shall become vested equal to the product of (x) the target number of Recurrent Consumer Spending Performance-Based Units in such vesting tranche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Recurrent Consumer Spending Vesting Percentage as of the Performance Measurement Date, rounded down to the nearest whole Recurrent Consumer Spending Performance-Based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Recurrent Consumer Spending Performance-Based Units, the following definitions shall apply:</w:t>
      </w:r>
    </w:p>
    <w:p>
      <w:pPr>
        <w:spacing w:after="0" w:line="2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Recurrent Consumer Spending</w:t>
      </w:r>
      <w:r>
        <w:rPr>
          <w:rFonts w:ascii="Times New Roman" w:cs="Times New Roman" w:eastAsia="Times New Roman" w:hAnsi="Times New Roman"/>
          <w:sz w:val="18"/>
          <w:szCs w:val="18"/>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Recurrent Consumer Spending Vesting Percentage</w:t>
      </w:r>
      <w:r>
        <w:rPr>
          <w:rFonts w:ascii="Times New Roman" w:cs="Times New Roman" w:eastAsia="Times New Roman" w:hAnsi="Times New Roman"/>
          <w:sz w:val="18"/>
          <w:szCs w:val="18"/>
          <w:color w:val="auto"/>
        </w:rPr>
        <w:t>” is a function of the Company’s Recurrent Consumer Spending and is determined by reference to the following tables. The first table measures the percentage change between Recurrent Consumer Spending for the fiscal year ended March 31, 2022 and the three-year average Recurrent Consumer Spending for the fiscal years ending March 31, 2023, March 31, 2024 and March 31, 2025, while the second table measures three-year average Recurrent Consumer Spending for the fiscal years ending March 31, 2023, March 31, 2024 and March 31, 2025 as a percentage of three-year average total net bookings for the fiscal years ending March 31, 2023, March 31, 2024 and March 31, 2025,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19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Absolute Recurrent Consumer Spending Growth</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Absolute Recurrent Consumer</w:t>
            </w:r>
          </w:p>
        </w:tc>
      </w:t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(during the relevant measurement period)</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Spending Vesting Percentage</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9%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48" w:name="page49"/>
    <w:bookmarkEnd w:id="48"/>
    <w:tbl>
      <w:tblPr>
        <w:tblLayout w:type="fixed"/>
        <w:tblInd w:w="1764" w:type="dxa"/>
        <w:tblCellMar>
          <w:top w:w="0" w:type="dxa"/>
          <w:left w:w="0" w:type="dxa"/>
          <w:bottom w:w="0" w:type="dxa"/>
          <w:right w:w="0" w:type="dxa"/>
        </w:tblCellMar>
      </w:tblPr>
      <w:tr>
        <w:trPr>
          <w:trHeight w:val="161"/>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Relative Recurrent Consumer Spending (as a</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 Recurrent Consumer</w:t>
            </w:r>
          </w:p>
        </w:tc>
      </w:tr>
      <w:tr>
        <w:trPr>
          <w:trHeight w:val="187"/>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 three-year average total net bookings)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Spending Vesting Percentage</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45%</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55%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66" w:lineRule="auto"/>
        <w:rPr>
          <w:sz w:val="20"/>
          <w:szCs w:val="20"/>
          <w:color w:val="auto"/>
        </w:rPr>
      </w:pPr>
      <w:r>
        <w:rPr>
          <w:rFonts w:ascii="Times New Roman" w:cs="Times New Roman" w:eastAsia="Times New Roman" w:hAnsi="Times New Roman"/>
          <w:sz w:val="18"/>
          <w:szCs w:val="18"/>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76" w:lineRule="exact"/>
        <w:rPr>
          <w:sz w:val="20"/>
          <w:szCs w:val="20"/>
          <w:color w:val="auto"/>
        </w:rPr>
      </w:pPr>
    </w:p>
    <w:p>
      <w:pPr>
        <w:ind w:left="344" w:hanging="344"/>
        <w:spacing w:after="0"/>
        <w:tabs>
          <w:tab w:leader="none" w:pos="3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72" w:lineRule="auto"/>
        <w:tabs>
          <w:tab w:leader="none" w:pos="79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In the event of a Qualifying Termination prior to the earlier of (x) the Vesting Date or (y) a Change in Control (as defined in the Management Agreement): (a) the effective date of such Qualifying Termination shall serve as the Time Vesting Date for all Time-Based Units hereunder, and all such Time-Based Units shall vest as of such date; (b) the effective date of such Qualifying Termination shall serve as the Performance Vesting Date for all TSR Performance-Based Units hereunder and the given date for purposes of the TSR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Performance Vesting Date for all Recurrent Consumer Spending Performance-Based Units hereunder, and the target number of such Recurrent Consumer Spending Performance-Based Units (as set forth in Section B(ii)) shall vest as of such date without regard to the application of the Applicable Vesting Percentage.</w:t>
      </w:r>
    </w:p>
    <w:p>
      <w:pPr>
        <w:spacing w:after="0" w:line="171" w:lineRule="exact"/>
        <w:rPr>
          <w:rFonts w:ascii="Times New Roman" w:cs="Times New Roman" w:eastAsia="Times New Roman" w:hAnsi="Times New Roman"/>
          <w:sz w:val="17"/>
          <w:szCs w:val="17"/>
          <w:color w:val="auto"/>
        </w:rPr>
      </w:pPr>
    </w:p>
    <w:p>
      <w:pPr>
        <w:ind w:left="844" w:hanging="404"/>
        <w:spacing w:after="0"/>
        <w:tabs>
          <w:tab w:leader="none" w:pos="8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 Change in Control occurs while the Management Agreement remains in effect, in any case prior to the earlier of</w:t>
      </w:r>
    </w:p>
    <w:p>
      <w:pPr>
        <w:spacing w:after="0" w:line="27" w:lineRule="exact"/>
        <w:rPr>
          <w:sz w:val="20"/>
          <w:szCs w:val="20"/>
          <w:color w:val="auto"/>
        </w:rPr>
      </w:pPr>
    </w:p>
    <w:p>
      <w:pPr>
        <w:ind w:left="4" w:right="120" w:hanging="4"/>
        <w:spacing w:after="0" w:line="251"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Date or (y) a Qualifying Termination, all Time-Based Units and the target number of Performance-Based Units (as set forth in Sections B(i) and B(ii) as applicable) shall remain eligible to vest and shall vest (without regard to the application of the Applicable Vesting Percentage, in the case of Performance-Based Units), in each case, as of the earlier of (a) a Qualifying Termination or (b) the Vesting Date. Each Restricted Unit that remains eligible to vest following a Change in Control pursuant to the foregoing sentence shall be referred to as a “</w:t>
      </w:r>
      <w:r>
        <w:rPr>
          <w:rFonts w:ascii="Times New Roman" w:cs="Times New Roman" w:eastAsia="Times New Roman" w:hAnsi="Times New Roman"/>
          <w:sz w:val="18"/>
          <w:szCs w:val="18"/>
          <w:b w:val="1"/>
          <w:bCs w:val="1"/>
          <w:color w:val="auto"/>
        </w:rPr>
        <w:t>Vesting-Eligible Unit</w:t>
      </w:r>
      <w:r>
        <w:rPr>
          <w:rFonts w:ascii="Times New Roman" w:cs="Times New Roman" w:eastAsia="Times New Roman" w:hAnsi="Times New Roman"/>
          <w:sz w:val="18"/>
          <w:szCs w:val="18"/>
          <w:color w:val="auto"/>
        </w:rPr>
        <w:t>.” Upon the occurrence of a Change in Control, each Vesting-Eligible Unit shall be converted into an amount in cash equal to the Market Value (as defined in the Management Agreement) of the consideration payable in the Change in Control in respect of each such Vesting-Eligible Unit, and such consideration shall be paid to the Participant promptly following the satisfaction of the vesting conditions set forth in this Section C(ii)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in full on the Vesting Date, or if earlier, upon a Qualifying Termination), and shall automatically be forfeited and shall revert back to the Company if such vesting conditions are not satisfied.</w:t>
      </w:r>
    </w:p>
    <w:p>
      <w:pPr>
        <w:spacing w:after="0" w:line="193" w:lineRule="exact"/>
        <w:rPr>
          <w:sz w:val="20"/>
          <w:szCs w:val="20"/>
          <w:color w:val="auto"/>
        </w:rPr>
      </w:pPr>
    </w:p>
    <w:p>
      <w:pPr>
        <w:ind w:left="364" w:hanging="364"/>
        <w:spacing w:after="0"/>
        <w:tabs>
          <w:tab w:leader="none" w:pos="3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4"/>
          </w:cols>
          <w:pgMar w:left="436" w:top="251" w:right="479" w:bottom="1440" w:gutter="0" w:footer="0" w:header="0"/>
        </w:sectPr>
      </w:pPr>
    </w:p>
    <w:bookmarkStart w:id="49" w:name="page50"/>
    <w:bookmarkEnd w:id="49"/>
    <w:p>
      <w:pPr>
        <w:ind w:left="4" w:right="600" w:firstLine="436"/>
        <w:spacing w:after="0" w:line="282" w:lineRule="auto"/>
        <w:tabs>
          <w:tab w:leader="none" w:pos="7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61" w:lineRule="exact"/>
        <w:rPr>
          <w:rFonts w:ascii="Times New Roman" w:cs="Times New Roman" w:eastAsia="Times New Roman" w:hAnsi="Times New Roman"/>
          <w:sz w:val="18"/>
          <w:szCs w:val="18"/>
          <w:color w:val="auto"/>
        </w:rPr>
      </w:pPr>
    </w:p>
    <w:p>
      <w:pPr>
        <w:ind w:left="4" w:right="340" w:firstLine="436"/>
        <w:spacing w:after="0" w:line="261" w:lineRule="auto"/>
        <w:tabs>
          <w:tab w:leader="none" w:pos="83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Performance-Based Units that (x) have not vested as of the earlier of (a) the Vesting Date or (b) the effective date of a Qualifying Termination, or (y) do not become Vesting-Eligible Units upon the occurrence of a Change in Control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any Performance-Based Units above the target numbers set forth in Sections B(i) and B(ii) as applicable), shall automatically be forfeited and shall revert back to the Company without compensation to the Participant.</w:t>
      </w:r>
    </w:p>
    <w:p>
      <w:pPr>
        <w:spacing w:after="0" w:line="179" w:lineRule="exact"/>
        <w:rPr>
          <w:rFonts w:ascii="Times New Roman" w:cs="Times New Roman" w:eastAsia="Times New Roman" w:hAnsi="Times New Roman"/>
          <w:sz w:val="18"/>
          <w:szCs w:val="18"/>
          <w:color w:val="auto"/>
        </w:rPr>
      </w:pPr>
    </w:p>
    <w:p>
      <w:pPr>
        <w:ind w:left="4" w:hanging="4"/>
        <w:spacing w:after="0" w:line="252" w:lineRule="auto"/>
        <w:tabs>
          <w:tab w:leader="none" w:pos="33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9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70" w:right="479" w:bottom="1440" w:gutter="0" w:footer="0" w:header="0"/>
        </w:sectPr>
      </w:pPr>
    </w:p>
    <w:bookmarkStart w:id="50" w:name="page51"/>
    <w:bookmarkEnd w:id="50"/>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Vesting Percentage</w:t>
      </w:r>
      <w:r>
        <w:rPr>
          <w:rFonts w:ascii="Times New Roman" w:cs="Times New Roman" w:eastAsia="Times New Roman" w:hAnsi="Times New Roman"/>
          <w:sz w:val="18"/>
          <w:szCs w:val="18"/>
          <w:color w:val="auto"/>
        </w:rPr>
        <w:t>” means (i) with respect to TSR Performance-Based Units, the TSR Vesting Percentage, and (ii) with respect to Recurrent Consumer Spending Performance-Based Units, the Recurrent Consumer Spending Vesting Percentage.</w:t>
      </w:r>
    </w:p>
    <w:p>
      <w:pPr>
        <w:spacing w:after="0" w:line="155" w:lineRule="exact"/>
        <w:rPr>
          <w:sz w:val="20"/>
          <w:szCs w:val="20"/>
          <w:color w:val="auto"/>
        </w:rPr>
      </w:pPr>
    </w:p>
    <w:p>
      <w:pPr>
        <w:ind w:left="440"/>
        <w:spacing w:after="0"/>
        <w:tabs>
          <w:tab w:leader="none" w:pos="4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Measurement Date</w:t>
      </w:r>
      <w:r>
        <w:rPr>
          <w:rFonts w:ascii="Times New Roman" w:cs="Times New Roman" w:eastAsia="Times New Roman" w:hAnsi="Times New Roman"/>
          <w:sz w:val="18"/>
          <w:szCs w:val="18"/>
          <w:color w:val="auto"/>
        </w:rPr>
        <w:t>” shall mean [</w:t>
        <w:tab/>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-5080</wp:posOffset>
            </wp:positionV>
            <wp:extent cx="114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37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Vesting Date</w:t>
      </w:r>
      <w:r>
        <w:rPr>
          <w:rFonts w:ascii="Times New Roman" w:cs="Times New Roman" w:eastAsia="Times New Roman" w:hAnsi="Times New Roman"/>
          <w:sz w:val="18"/>
          <w:szCs w:val="18"/>
          <w:color w:val="auto"/>
        </w:rPr>
        <w:t>” shall mean [</w:t>
      </w:r>
      <w:r>
        <w:rPr>
          <w:sz w:val="20"/>
          <w:szCs w:val="20"/>
          <w:color w:val="auto"/>
        </w:rPr>
        <w:tab/>
      </w:r>
      <w:r>
        <w:rPr>
          <w:rFonts w:ascii="Times New Roman" w:cs="Times New Roman" w:eastAsia="Times New Roman" w:hAnsi="Times New Roman"/>
          <w:sz w:val="17"/>
          <w:szCs w:val="17"/>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-5080</wp:posOffset>
            </wp:positionV>
            <wp:extent cx="114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79" w:lineRule="exact"/>
        <w:rPr>
          <w:sz w:val="20"/>
          <w:szCs w:val="20"/>
          <w:color w:val="auto"/>
        </w:rPr>
      </w:pPr>
    </w:p>
    <w:p>
      <w:pPr>
        <w:ind w:left="440"/>
        <w:spacing w:after="0"/>
        <w:tabs>
          <w:tab w:leader="none" w:pos="49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Time-Based Vesting Commencement Date</w:t>
      </w:r>
      <w:r>
        <w:rPr>
          <w:rFonts w:ascii="Times New Roman" w:cs="Times New Roman" w:eastAsia="Times New Roman" w:hAnsi="Times New Roman"/>
          <w:sz w:val="18"/>
          <w:szCs w:val="18"/>
          <w:color w:val="auto"/>
        </w:rPr>
        <w:t>” shall mean [</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-5080</wp:posOffset>
            </wp:positionV>
            <wp:extent cx="114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shall mean, as context requires, one or more Time Vesting Dates and/or the Performance Vesting Date.</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66" w:right="4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203"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This Restricted Unit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 is made by and between Take-Two Interactive Software,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ZelnickMedia Corporation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-186690</wp:posOffset>
            </wp:positionV>
            <wp:extent cx="114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adopted the Take-Two Interactive Software, Inc. 2017 Stock Incentive Plan (as amended and restated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 copy of which has been delivered to the Participant, which is administered by a committee appointed by the Company’s Board of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7 of the Plan, the Committee may grant restricted stock units (“</w:t>
      </w:r>
      <w:r>
        <w:rPr>
          <w:rFonts w:ascii="Times New Roman" w:cs="Times New Roman" w:eastAsia="Times New Roman" w:hAnsi="Times New Roman"/>
          <w:sz w:val="18"/>
          <w:szCs w:val="18"/>
          <w:b w:val="1"/>
          <w:bCs w:val="1"/>
          <w:color w:val="auto"/>
        </w:rPr>
        <w:t>Restricted Units</w:t>
      </w:r>
      <w:r>
        <w:rPr>
          <w:rFonts w:ascii="Times New Roman" w:cs="Times New Roman" w:eastAsia="Times New Roman" w:hAnsi="Times New Roman"/>
          <w:sz w:val="18"/>
          <w:szCs w:val="18"/>
          <w:color w:val="auto"/>
        </w:rPr>
        <w:t>”), each representing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one (1) share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of the Company’s common stock, par value $0.01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the cash value of one (1) share of Common Stock, as determined by the Committee, on a specified settlement date, to Consultants; and</w:t>
      </w:r>
    </w:p>
    <w:p>
      <w:pPr>
        <w:spacing w:after="0" w:line="171" w:lineRule="exact"/>
        <w:rPr>
          <w:sz w:val="20"/>
          <w:szCs w:val="20"/>
          <w:color w:val="auto"/>
        </w:rPr>
      </w:pPr>
    </w:p>
    <w:p>
      <w:pPr>
        <w:ind w:right="1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Management Agreement between the Participant and the Company, dated as of , and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the Company has agreed to grant Restricted Units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5266690</wp:posOffset>
            </wp:positionH>
            <wp:positionV relativeFrom="paragraph">
              <wp:posOffset>-186690</wp:posOffset>
            </wp:positionV>
            <wp:extent cx="114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-186690</wp:posOffset>
            </wp:positionV>
            <wp:extent cx="114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promises herein contained,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155" w:lineRule="exact"/>
        <w:rPr>
          <w:sz w:val="20"/>
          <w:szCs w:val="20"/>
          <w:color w:val="auto"/>
        </w:rPr>
      </w:pPr>
    </w:p>
    <w:p>
      <w:pPr>
        <w:ind w:left="760" w:hanging="324"/>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terms and conditions of this Agreement, the Company hereby awards to the Participant</w:t>
      </w:r>
    </w:p>
    <w:p>
      <w:pPr>
        <w:spacing w:after="0" w:line="31"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for purposes of this Section 1,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 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8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Units shall become vested and settled in accordance with the terms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-2199640</wp:posOffset>
            </wp:positionV>
            <wp:extent cx="3429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52" w:name="page53"/>
    <w:bookmarkEnd w:id="52"/>
    <w:p>
      <w:pPr>
        <w:ind w:firstLine="436"/>
        <w:spacing w:after="0" w:line="286"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shall be solely responsible for all applicable federal, state, local, and foreign taxes the Participant incurs from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of the Restricted Units.</w:t>
      </w:r>
    </w:p>
    <w:p>
      <w:pPr>
        <w:spacing w:after="0" w:line="154" w:lineRule="exact"/>
        <w:rPr>
          <w:rFonts w:ascii="Times New Roman" w:cs="Times New Roman" w:eastAsia="Times New Roman" w:hAnsi="Times New Roman"/>
          <w:sz w:val="18"/>
          <w:szCs w:val="18"/>
          <w:color w:val="auto"/>
        </w:rPr>
      </w:pPr>
    </w:p>
    <w:p>
      <w:pPr>
        <w:ind w:right="160" w:firstLine="436"/>
        <w:spacing w:after="0" w:line="262"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Obligation to Continue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not an agreement of consultancy. This Agreement does not guarantee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76" w:lineRule="exact"/>
        <w:rPr>
          <w:rFonts w:ascii="Times New Roman" w:cs="Times New Roman" w:eastAsia="Times New Roman" w:hAnsi="Times New Roman"/>
          <w:sz w:val="18"/>
          <w:szCs w:val="18"/>
          <w:color w:val="auto"/>
        </w:rPr>
      </w:pPr>
    </w:p>
    <w:p>
      <w:pPr>
        <w:ind w:right="40" w:firstLine="436"/>
        <w:spacing w:after="0" w:line="256"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successors and assigns, is hereby appointed the attorney-in-fact, with full power of substitution,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82" w:lineRule="exact"/>
        <w:rPr>
          <w:rFonts w:ascii="Times New Roman" w:cs="Times New Roman" w:eastAsia="Times New Roman" w:hAnsi="Times New Roman"/>
          <w:sz w:val="18"/>
          <w:szCs w:val="18"/>
          <w:color w:val="auto"/>
        </w:rPr>
      </w:pPr>
    </w:p>
    <w:p>
      <w:pPr>
        <w:ind w:right="40" w:firstLine="436"/>
        <w:spacing w:after="0" w:line="262"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else herein, to the extent permitted under applicable law, the Company may issue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76" w:lineRule="exact"/>
        <w:rPr>
          <w:rFonts w:ascii="Times New Roman" w:cs="Times New Roman" w:eastAsia="Times New Roman" w:hAnsi="Times New Roman"/>
          <w:sz w:val="18"/>
          <w:szCs w:val="18"/>
          <w:color w:val="auto"/>
        </w:rPr>
      </w:pPr>
    </w:p>
    <w:p>
      <w:pPr>
        <w:ind w:right="20" w:firstLine="436"/>
        <w:spacing w:after="0" w:line="256"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subject to all the terms, conditions, and provisions of the Plan,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182" w:lineRule="exact"/>
        <w:rPr>
          <w:rFonts w:ascii="Times New Roman" w:cs="Times New Roman" w:eastAsia="Times New Roman" w:hAnsi="Times New Roman"/>
          <w:sz w:val="18"/>
          <w:szCs w:val="18"/>
          <w:color w:val="auto"/>
        </w:rPr>
      </w:pPr>
    </w:p>
    <w:p>
      <w:pPr>
        <w:ind w:right="320" w:firstLine="436"/>
        <w:spacing w:after="0" w:line="286"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Company shall make any adjustments to the Restricted Units upon any changes in capital structure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Committee in good faith and in a manner consistent with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3" w:name="page54"/>
    <w:bookmarkEnd w:id="53"/>
    <w:p>
      <w:pPr>
        <w:ind w:firstLine="436"/>
        <w:spacing w:after="0" w:line="268" w:lineRule="auto"/>
        <w:tabs>
          <w:tab w:leader="none" w:pos="7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or communication given hereunder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in writing and shall be sent by personal delivery, by courier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United States mail (registered or certified mail, postage prepaid and return receipt requested), to the appropriate party at the address set forth below:</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(646) 536-3001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Participant,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ZelnickMedia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East 59th Street, 24th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(212) 223-1383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Strauss Zelnick</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58" w:lineRule="exact"/>
        <w:rPr>
          <w:sz w:val="20"/>
          <w:szCs w:val="20"/>
          <w:color w:val="auto"/>
        </w:rPr>
      </w:pPr>
    </w:p>
    <w:p>
      <w:pPr>
        <w:ind w:right="100" w:firstLine="436"/>
        <w:spacing w:after="0" w:line="262" w:lineRule="auto"/>
        <w:tabs>
          <w:tab w:leader="none" w:pos="8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questions concerning the construction, validity, and interpretation of this Agreement will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6" w:lineRule="exact"/>
        <w:rPr>
          <w:rFonts w:ascii="Times New Roman" w:cs="Times New Roman" w:eastAsia="Times New Roman" w:hAnsi="Times New Roman"/>
          <w:sz w:val="18"/>
          <w:szCs w:val="18"/>
          <w:color w:val="auto"/>
        </w:rPr>
      </w:pPr>
    </w:p>
    <w:p>
      <w:pPr>
        <w:ind w:firstLine="436"/>
        <w:spacing w:after="0" w:line="252" w:lineRule="auto"/>
        <w:tabs>
          <w:tab w:leader="none" w:pos="8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the Plan to the contrary, in the event of any dispute, controversy, or claim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 and the Participant in any way concerning, arising out of or relating to the Plan or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Times New Roman" w:cs="Times New Roman" w:eastAsia="Times New Roman" w:hAnsi="Times New Roman"/>
          <w:sz w:val="18"/>
          <w:szCs w:val="18"/>
          <w:b w:val="1"/>
          <w:bCs w:val="1"/>
          <w:color w:val="auto"/>
        </w:rPr>
        <w:t>Agreed Venue</w:t>
      </w:r>
      <w:r>
        <w:rPr>
          <w:rFonts w:ascii="Times New Roman" w:cs="Times New Roman" w:eastAsia="Times New Roman" w:hAnsi="Times New Roman"/>
          <w:sz w:val="18"/>
          <w:szCs w:val="18"/>
          <w:color w:val="auto"/>
        </w:rPr>
        <w:t>”) for resolution of any such Dispute, (b) 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 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94" w:lineRule="exact"/>
        <w:rPr>
          <w:rFonts w:ascii="Times New Roman" w:cs="Times New Roman" w:eastAsia="Times New Roman" w:hAnsi="Times New Roman"/>
          <w:sz w:val="18"/>
          <w:szCs w:val="18"/>
          <w:color w:val="auto"/>
        </w:rPr>
      </w:pPr>
    </w:p>
    <w:p>
      <w:pPr>
        <w:ind w:right="480" w:firstLine="436"/>
        <w:spacing w:after="0" w:line="286" w:lineRule="auto"/>
        <w:tabs>
          <w:tab w:leader="none" w:pos="8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(including by facsimile transmission) with counterpart signature pages or in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an original and all of which taken together shall constitute one and the same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4" w:name="page55"/>
    <w:bookmarkEnd w:id="54"/>
    <w:p>
      <w:pPr>
        <w:ind w:firstLine="436"/>
        <w:spacing w:after="0" w:line="262" w:lineRule="auto"/>
        <w:tabs>
          <w:tab w:leader="none" w:pos="8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subject to the terms of the Plan, at any time and from time to time amend, in whole or in part,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76"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220" w:firstLine="987"/>
        <w:spacing w:after="0" w:line="282" w:lineRule="auto"/>
        <w:tabs>
          <w:tab w:leader="none" w:pos="13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heirs, legal representatives, successors, and assigns.</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37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5" w:lineRule="auto"/>
        <w:tabs>
          <w:tab w:leader="none" w:pos="13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 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date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Daniel P. Emerson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ZELNICKMEDIA CORPORATION</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00"/>
          </w:cols>
          <w:pgMar w:left="880" w:top="270" w:right="1019" w:bottom="1440" w:gutter="0" w:footer="0" w:header="0"/>
        </w:sectPr>
      </w:pPr>
    </w:p>
    <w:bookmarkStart w:id="56" w:name="page57"/>
    <w:bookmarkEnd w:id="56"/>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ind w:left="364" w:hanging="364"/>
        <w:spacing w:after="0"/>
        <w:tabs>
          <w:tab w:leader="none" w:pos="3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Time-Based Vesting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4"/>
        <w:spacing w:after="0"/>
        <w:tabs>
          <w:tab w:leader="none" w:pos="2584" w:val="left"/>
        </w:tabs>
        <w:rPr>
          <w:sz w:val="20"/>
          <w:szCs w:val="20"/>
          <w:color w:val="auto"/>
        </w:rPr>
      </w:pPr>
      <w:r>
        <w:rPr>
          <w:rFonts w:ascii="Times New Roman" w:cs="Times New Roman" w:eastAsia="Times New Roman" w:hAnsi="Times New Roman"/>
          <w:sz w:val="18"/>
          <w:szCs w:val="18"/>
          <w:color w:val="auto"/>
        </w:rPr>
        <w:t>Subject to Section C, [</w:t>
      </w:r>
      <w:r>
        <w:rPr>
          <w:sz w:val="20"/>
          <w:szCs w:val="20"/>
          <w:color w:val="auto"/>
        </w:rPr>
        <w:tab/>
      </w:r>
      <w:r>
        <w:rPr>
          <w:rFonts w:ascii="Times New Roman" w:cs="Times New Roman" w:eastAsia="Times New Roman" w:hAnsi="Times New Roman"/>
          <w:sz w:val="17"/>
          <w:szCs w:val="17"/>
          <w:color w:val="auto"/>
        </w:rPr>
        <w:t>] of the Restricted Units (the “</w:t>
      </w:r>
      <w:r>
        <w:rPr>
          <w:rFonts w:ascii="Times New Roman" w:cs="Times New Roman" w:eastAsia="Times New Roman" w:hAnsi="Times New Roman"/>
          <w:sz w:val="17"/>
          <w:szCs w:val="17"/>
          <w:b w:val="1"/>
          <w:bCs w:val="1"/>
          <w:color w:val="auto"/>
        </w:rPr>
        <w:t>Time-Based Units</w:t>
      </w:r>
      <w:r>
        <w:rPr>
          <w:rFonts w:ascii="Times New Roman" w:cs="Times New Roman" w:eastAsia="Times New Roman" w:hAnsi="Times New Roman"/>
          <w:sz w:val="17"/>
          <w:szCs w:val="17"/>
          <w:color w:val="auto"/>
        </w:rPr>
        <w:t>”) shall become vested in accordance with the following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-5080</wp:posOffset>
            </wp:positionV>
            <wp:extent cx="3429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(i) one-third (1/3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of the Time-Based Units shall vest 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anniversary of the Time-Based Vesting Commencement Date;</w:t>
      </w:r>
    </w:p>
    <w:p>
      <w:pPr>
        <w:spacing w:after="0" w:line="9" w:lineRule="exact"/>
        <w:rPr>
          <w:sz w:val="20"/>
          <w:szCs w:val="20"/>
          <w:color w:val="auto"/>
        </w:rPr>
      </w:pPr>
    </w:p>
    <w:p>
      <w:pPr>
        <w:ind w:left="264" w:hanging="264"/>
        <w:spacing w:after="0"/>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of the Time-Based Units shall vest on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Time-Based Vesting Commencement Date; and</w:t>
      </w:r>
    </w:p>
    <w:p>
      <w:pPr>
        <w:spacing w:after="0" w:line="10" w:lineRule="exact"/>
        <w:rPr>
          <w:rFonts w:ascii="Times New Roman" w:cs="Times New Roman" w:eastAsia="Times New Roman" w:hAnsi="Times New Roman"/>
          <w:sz w:val="18"/>
          <w:szCs w:val="18"/>
          <w:color w:val="auto"/>
        </w:rPr>
      </w:pPr>
    </w:p>
    <w:p>
      <w:pPr>
        <w:ind w:left="4" w:right="460" w:hanging="4"/>
        <w:spacing w:after="0" w:line="260" w:lineRule="auto"/>
        <w:tabs>
          <w:tab w:leader="none" w:pos="3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of the Time-Based Units shall vest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anniversary of the Time-Based Vesting Commencement Date (each such vesting date, a “</w:t>
      </w:r>
      <w:r>
        <w:rPr>
          <w:rFonts w:ascii="Times New Roman" w:cs="Times New Roman" w:eastAsia="Times New Roman" w:hAnsi="Times New Roman"/>
          <w:sz w:val="18"/>
          <w:szCs w:val="18"/>
          <w:b w:val="1"/>
          <w:bCs w:val="1"/>
          <w:color w:val="auto"/>
        </w:rPr>
        <w:t>Time Vesting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344" w:hanging="344"/>
        <w:spacing w:after="0"/>
        <w:tabs>
          <w:tab w:leader="none" w:pos="3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Subject to Section C, certain of the Restricted Units shall be subject to performance-based vesting in accordance with Section (B)(i) (the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Performance-Based Units</w:t>
      </w:r>
      <w:r>
        <w:rPr>
          <w:rFonts w:ascii="Times New Roman" w:cs="Times New Roman" w:eastAsia="Times New Roman" w:hAnsi="Times New Roman"/>
          <w:sz w:val="18"/>
          <w:szCs w:val="18"/>
          <w:color w:val="auto"/>
        </w:rPr>
        <w:t>”), and Section (B)(ii) (the “</w:t>
      </w:r>
      <w:r>
        <w:rPr>
          <w:rFonts w:ascii="Times New Roman" w:cs="Times New Roman" w:eastAsia="Times New Roman" w:hAnsi="Times New Roman"/>
          <w:sz w:val="18"/>
          <w:szCs w:val="18"/>
          <w:b w:val="1"/>
          <w:bCs w:val="1"/>
          <w:color w:val="auto"/>
        </w:rPr>
        <w:t>Recurrent Consumer Spending Performance-Based Units</w:t>
      </w:r>
      <w:r>
        <w:rPr>
          <w:rFonts w:ascii="Times New Roman" w:cs="Times New Roman" w:eastAsia="Times New Roman" w:hAnsi="Times New Roman"/>
          <w:sz w:val="18"/>
          <w:szCs w:val="18"/>
          <w:color w:val="auto"/>
        </w:rPr>
        <w:t>” and together with the TSR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Performance-Based Units, the “</w:t>
      </w:r>
      <w:r>
        <w:rPr>
          <w:rFonts w:ascii="Times New Roman" w:cs="Times New Roman" w:eastAsia="Times New Roman" w:hAnsi="Times New Roman"/>
          <w:sz w:val="18"/>
          <w:szCs w:val="18"/>
          <w:b w:val="1"/>
          <w:bCs w:val="1"/>
          <w:color w:val="auto"/>
        </w:rPr>
        <w:t>Performance-Based Units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784" w:hanging="344"/>
        <w:spacing w:after="0"/>
        <w:tabs>
          <w:tab w:leader="none" w:pos="7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TSR Performance-Based Units</w:t>
      </w:r>
      <w:r>
        <w:rPr>
          <w:rFonts w:ascii="Times New Roman" w:cs="Times New Roman" w:eastAsia="Times New Roman" w:hAnsi="Times New Roman"/>
          <w:sz w:val="18"/>
          <w:szCs w:val="18"/>
          <w:color w:val="auto"/>
        </w:rPr>
        <w:t>. The target number of TSR Performance-Based Units that shall be eligible to vest pursuant to this Section B(i)</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w:t>
      </w:r>
      <w:r>
        <w:rPr>
          <w:rFonts w:ascii="Times New Roman" w:cs="Times New Roman" w:eastAsia="Times New Roman" w:hAnsi="Times New Roman"/>
          <w:sz w:val="17"/>
          <w:szCs w:val="17"/>
          <w:color w:val="auto"/>
        </w:rPr>
        <w:t>], and the maximum number of TSR Performance-Based Units that shall be eligible to vest pursuant to this Section B(i) shall be</w:t>
      </w:r>
    </w:p>
    <w:p>
      <w:pPr>
        <w:spacing w:after="0" w:line="9"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Subject to Section C, on the Performance Vesting Date, a number of TSR Performance-Based Units shall become vested equal to the product of (x) the target number of TSR Performance-Based Units eligible to vest pursuant to this Section B(i)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TSR Vesting Percentage as of the Performance Measurement Date, rounded down to the nearest whole TSR Performance-Based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-443865</wp:posOffset>
            </wp:positionV>
            <wp:extent cx="3429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-306705</wp:posOffset>
            </wp:positionV>
            <wp:extent cx="3429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the TSR Performance-Based Units, the following definitions shall apply:</w:t>
      </w:r>
    </w:p>
    <w:p>
      <w:pPr>
        <w:spacing w:after="0" w:line="22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Peer Group</w:t>
      </w:r>
      <w:r>
        <w:rPr>
          <w:rFonts w:ascii="Times New Roman" w:cs="Times New Roman" w:eastAsia="Times New Roman" w:hAnsi="Times New Roman"/>
          <w:sz w:val="18"/>
          <w:szCs w:val="18"/>
          <w:color w:val="auto"/>
        </w:rPr>
        <w:t xml:space="preserve">” shall consist of the companies that comprise The NASDAQ-100 Index on the TSR Reference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subject to clause (iii)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 in the event of a merger, acquisition or similar corporate transaction involving a member or members of the Peer Group in which a Peer Group member is the surviving entity and continues to be publicly traded, such surviving entity shall remain a Peer Group member; and (iii)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18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Percentile Rank</w:t>
      </w:r>
      <w:r>
        <w:rPr>
          <w:rFonts w:ascii="Times New Roman" w:cs="Times New Roman" w:eastAsia="Times New Roman" w:hAnsi="Times New Roman"/>
          <w:sz w:val="18"/>
          <w:szCs w:val="18"/>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4"/>
          </w:cols>
          <w:pgMar w:left="436" w:top="266" w:right="4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Percentile Rank = (N - R + 1) ÷ N ×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t>N =</w:t>
      </w:r>
      <w:r>
        <w:rPr>
          <w:sz w:val="20"/>
          <w:szCs w:val="20"/>
          <w:color w:val="auto"/>
        </w:rPr>
        <w:tab/>
      </w:r>
      <w:r>
        <w:rPr>
          <w:rFonts w:ascii="Times New Roman" w:cs="Times New Roman" w:eastAsia="Times New Roman" w:hAnsi="Times New Roman"/>
          <w:sz w:val="17"/>
          <w:szCs w:val="17"/>
          <w:color w:val="auto"/>
        </w:rPr>
        <w:t>total number of companies in the Peer Group</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R = the numeric rank of the Company’s Total Shareholder Return relative to the Peer Group, where the highest Total Shareholder Return in the Peer Group is ranked number 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Percentile Rank shall be rounded to the nearest whole percentage, with (0.5) rounded up.</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To illustrate, if the Company’s Total Shareholder Return is the 25th highest in a Peer Group comprised of 100 companies, its Percentile Rank would be 76. The calculation is (100 - 25 + 1) ÷ 100 × 100 = 76.</w:t>
      </w:r>
    </w:p>
    <w:p>
      <w:pPr>
        <w:spacing w:after="0" w:line="158"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Shareholder Return</w:t>
      </w:r>
      <w:r>
        <w:rPr>
          <w:rFonts w:ascii="Times New Roman" w:cs="Times New Roman" w:eastAsia="Times New Roman" w:hAnsi="Times New Roman"/>
          <w:sz w:val="18"/>
          <w:szCs w:val="18"/>
          <w:color w:val="auto"/>
        </w:rPr>
        <w:t>” as of a given date means the percentage change in the value of the Common Stock or the common stock of a Peer Group company, as applicable, from the TSR Reference Price to the TSR Measurement Price on such date.</w:t>
      </w:r>
    </w:p>
    <w:p>
      <w:pPr>
        <w:spacing w:after="0" w:line="15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Measurement Price</w:t>
      </w:r>
      <w:r>
        <w:rPr>
          <w:rFonts w:ascii="Times New Roman" w:cs="Times New Roman" w:eastAsia="Times New Roman" w:hAnsi="Times New Roman"/>
          <w:sz w:val="18"/>
          <w:szCs w:val="18"/>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except as otherwise required as provided in Section C of this Annex A.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183" w:lineRule="exact"/>
        <w:rPr>
          <w:sz w:val="20"/>
          <w:szCs w:val="20"/>
          <w:color w:val="auto"/>
        </w:rPr>
      </w:pPr>
    </w:p>
    <w:p>
      <w:pPr>
        <w:ind w:left="440"/>
        <w:spacing w:after="0"/>
        <w:tabs>
          <w:tab w:leader="none" w:pos="32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Reference Date</w:t>
      </w:r>
      <w:r>
        <w:rPr>
          <w:rFonts w:ascii="Times New Roman" w:cs="Times New Roman" w:eastAsia="Times New Roman" w:hAnsi="Times New Roman"/>
          <w:sz w:val="18"/>
          <w:szCs w:val="18"/>
          <w:color w:val="auto"/>
        </w:rPr>
        <w:t>” shall mean [</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-5080</wp:posOffset>
            </wp:positionV>
            <wp:extent cx="114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Reference Price</w:t>
      </w:r>
      <w:r>
        <w:rPr>
          <w:rFonts w:ascii="Times New Roman" w:cs="Times New Roman" w:eastAsia="Times New Roman" w:hAnsi="Times New Roman"/>
          <w:sz w:val="18"/>
          <w:szCs w:val="18"/>
          <w:color w:val="auto"/>
        </w:rPr>
        <w:t>” means the average of the closing prices of the Common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TSR Vesting Percentage</w:t>
      </w:r>
      <w:r>
        <w:rPr>
          <w:rFonts w:ascii="Times New Roman" w:cs="Times New Roman" w:eastAsia="Times New Roman" w:hAnsi="Times New Roman"/>
          <w:sz w:val="18"/>
          <w:szCs w:val="18"/>
          <w:color w:val="auto"/>
        </w:rPr>
        <w:t>” as of a given date is a function of the Company’s Percentile Rank among the Peer Group calculated as of such date, determined by reference to the following table: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58" w:name="page59"/>
    <w:bookmarkEnd w:id="58"/>
    <w:tbl>
      <w:tblPr>
        <w:tblLayout w:type="fixed"/>
        <w:tblInd w:w="1760" w:type="dxa"/>
        <w:tblCellMar>
          <w:top w:w="0" w:type="dxa"/>
          <w:left w:w="0" w:type="dxa"/>
          <w:bottom w:w="0" w:type="dxa"/>
          <w:right w:w="0" w:type="dxa"/>
        </w:tblCellMar>
      </w:tblP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4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TSR Vesting Percentage</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40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50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75</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76" w:lineRule="exact"/>
        <w:rPr>
          <w:sz w:val="20"/>
          <w:szCs w:val="20"/>
          <w:color w:val="auto"/>
        </w:rPr>
      </w:pPr>
    </w:p>
    <w:p>
      <w:pPr>
        <w:ind w:left="840" w:hanging="404"/>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Recurrent Consumer Spending Performance-Based Units</w:t>
      </w:r>
      <w:r>
        <w:rPr>
          <w:rFonts w:ascii="Times New Roman" w:cs="Times New Roman" w:eastAsia="Times New Roman" w:hAnsi="Times New Roman"/>
          <w:sz w:val="18"/>
          <w:szCs w:val="18"/>
          <w:color w:val="auto"/>
        </w:rPr>
        <w:t>. The target number of Recurrent Consumer Spending Performance-Based Units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shall be eligible to vest pursuant to this Section B(ii) shall be [</w:t>
      </w:r>
      <w:r>
        <w:rPr>
          <w:rFonts w:ascii="Times New Roman" w:cs="Times New Roman" w:eastAsia="Times New Roman" w:hAnsi="Times New Roman"/>
          <w:sz w:val="17"/>
          <w:szCs w:val="17"/>
          <w:color w:val="auto"/>
        </w:rPr>
        <w:t>], and the maximum number of Recurrent Consumer Spending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-19050</wp:posOffset>
            </wp:positionV>
            <wp:extent cx="3429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tabs>
          <w:tab w:leader="none" w:pos="6240" w:val="left"/>
        </w:tabs>
        <w:rPr>
          <w:sz w:val="20"/>
          <w:szCs w:val="20"/>
          <w:color w:val="auto"/>
        </w:rPr>
      </w:pPr>
      <w:r>
        <w:rPr>
          <w:rFonts w:ascii="Times New Roman" w:cs="Times New Roman" w:eastAsia="Times New Roman" w:hAnsi="Times New Roman"/>
          <w:sz w:val="18"/>
          <w:szCs w:val="18"/>
          <w:color w:val="auto"/>
        </w:rPr>
        <w:t>Based Units that shall be eligible to vest pursuant to this Section B(ii) shall be [</w:t>
      </w:r>
      <w:r>
        <w:rPr>
          <w:sz w:val="20"/>
          <w:szCs w:val="20"/>
          <w:color w:val="auto"/>
        </w:rPr>
        <w:tab/>
      </w:r>
      <w:r>
        <w:rPr>
          <w:rFonts w:ascii="Times New Roman" w:cs="Times New Roman" w:eastAsia="Times New Roman" w:hAnsi="Times New Roman"/>
          <w:sz w:val="17"/>
          <w:szCs w:val="17"/>
          <w:color w:val="auto"/>
        </w:rPr>
        <w:t>]. Subject to Section C, on the Performance Vesting Date,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3429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number of Recurrent Consumer Spending Performance-Based Units shall become vested equal to the product of (x) the target number of Recurrent Consumer Spending Performance-Based Units in such vesting tranche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Recurrent Consumer Spending Vesting Percentage as of the Performance Measurement Date, rounded down to the nearest whole Recurrent Consumer Spending Performance-Based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Recurrent Consumer Spending Performance-Based Units, the following definitions shall apply:</w:t>
      </w:r>
    </w:p>
    <w:p>
      <w:pPr>
        <w:spacing w:after="0" w:line="2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Recurrent Consumer Spending</w:t>
      </w:r>
      <w:r>
        <w:rPr>
          <w:rFonts w:ascii="Times New Roman" w:cs="Times New Roman" w:eastAsia="Times New Roman" w:hAnsi="Times New Roman"/>
          <w:sz w:val="18"/>
          <w:szCs w:val="18"/>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Recurrent Consumer Spending Vesting Percentage</w:t>
      </w:r>
      <w:r>
        <w:rPr>
          <w:rFonts w:ascii="Times New Roman" w:cs="Times New Roman" w:eastAsia="Times New Roman" w:hAnsi="Times New Roman"/>
          <w:sz w:val="18"/>
          <w:szCs w:val="18"/>
          <w:color w:val="auto"/>
        </w:rPr>
        <w:t>” is a function of the Company’s Recurrent Consumer Spending and is determined by reference to the following tables. The first table measures the percentage change between Recurrent Consumer Spending for the fiscal year ended March 31, 2022 and the three-year average Recurrent Consumer Spending for the fiscal years ending March 31, 2023, March 31, 2024 and March 31, 2025, while the second table measures three-year average Recurrent Consumer Spending for the fiscal years ending March 31, 2023, March 31, 2024 and March 31, 2025 as a percentage of three-year average total net bookings for the fiscal years ending March 31, 2023, March 31, 2024 and March 31, 2025,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19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Absolute Recurrent Consumer Spending Growth</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Absolute Recurrent Consumer</w:t>
            </w:r>
          </w:p>
        </w:tc>
      </w:tr>
      <w:tr>
        <w:trPr>
          <w:trHeight w:val="187"/>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(during the relevant measurement period)</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Spending Vesting Percentage</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9%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63" w:right="459" w:bottom="1440" w:gutter="0" w:footer="0" w:header="0"/>
        </w:sectPr>
      </w:pPr>
    </w:p>
    <w:bookmarkStart w:id="59" w:name="page60"/>
    <w:bookmarkEnd w:id="59"/>
    <w:tbl>
      <w:tblPr>
        <w:tblLayout w:type="fixed"/>
        <w:tblInd w:w="1764" w:type="dxa"/>
        <w:tblCellMar>
          <w:top w:w="0" w:type="dxa"/>
          <w:left w:w="0" w:type="dxa"/>
          <w:bottom w:w="0" w:type="dxa"/>
          <w:right w:w="0" w:type="dxa"/>
        </w:tblCellMar>
      </w:tblPr>
      <w:tr>
        <w:trPr>
          <w:trHeight w:val="161"/>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Relative Recurrent Consumer Spending (as a</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 Recurrent Consumer</w:t>
            </w:r>
          </w:p>
        </w:tc>
      </w:tr>
      <w:tr>
        <w:trPr>
          <w:trHeight w:val="187"/>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 three-year average total net bookings)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Spending Vesting Percentage</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45%</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55% or greater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66" w:lineRule="auto"/>
        <w:rPr>
          <w:sz w:val="20"/>
          <w:szCs w:val="20"/>
          <w:color w:val="auto"/>
        </w:rPr>
      </w:pPr>
      <w:r>
        <w:rPr>
          <w:rFonts w:ascii="Times New Roman" w:cs="Times New Roman" w:eastAsia="Times New Roman" w:hAnsi="Times New Roman"/>
          <w:sz w:val="18"/>
          <w:szCs w:val="18"/>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76" w:lineRule="exact"/>
        <w:rPr>
          <w:sz w:val="20"/>
          <w:szCs w:val="20"/>
          <w:color w:val="auto"/>
        </w:rPr>
      </w:pPr>
    </w:p>
    <w:p>
      <w:pPr>
        <w:ind w:left="344" w:hanging="344"/>
        <w:spacing w:after="0"/>
        <w:tabs>
          <w:tab w:leader="none" w:pos="3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72" w:lineRule="auto"/>
        <w:tabs>
          <w:tab w:leader="none" w:pos="794"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In the event of a Qualifying Termination prior to the earlier of (x) the Vesting Date or (y) a Change in Control (as defined in the Management Agreement): (a) the effective date of such Qualifying Termination shall serve as the Time Vesting Date for all Time-Based Units hereunder, and all such Time-Based Units shall vest as of such date; (b) the effective date of such Qualifying Termination shall serve as the Performance Vesting Date for all TSR Performance-Based Units hereunder and the given date for purposes of the TSR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Performance Vesting Date for all Recurrent Consumer Spending Performance-Based Units hereunder, and the target number of such Recurrent Consumer Spending Performance-Based Units (as set forth in Section B(ii)) shall vest as of such date without regard to the application of the Applicable Vesting Percentage.</w:t>
      </w:r>
    </w:p>
    <w:p>
      <w:pPr>
        <w:spacing w:after="0" w:line="171" w:lineRule="exact"/>
        <w:rPr>
          <w:rFonts w:ascii="Times New Roman" w:cs="Times New Roman" w:eastAsia="Times New Roman" w:hAnsi="Times New Roman"/>
          <w:sz w:val="17"/>
          <w:szCs w:val="17"/>
          <w:color w:val="auto"/>
        </w:rPr>
      </w:pPr>
    </w:p>
    <w:p>
      <w:pPr>
        <w:ind w:left="844" w:hanging="404"/>
        <w:spacing w:after="0"/>
        <w:tabs>
          <w:tab w:leader="none" w:pos="8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 Change in Control occurs while the Management Agreement remains in effect, in any case prior to the earlier of</w:t>
      </w:r>
    </w:p>
    <w:p>
      <w:pPr>
        <w:spacing w:after="0" w:line="27" w:lineRule="exact"/>
        <w:rPr>
          <w:sz w:val="20"/>
          <w:szCs w:val="20"/>
          <w:color w:val="auto"/>
        </w:rPr>
      </w:pPr>
    </w:p>
    <w:p>
      <w:pPr>
        <w:ind w:left="4" w:right="120" w:hanging="4"/>
        <w:spacing w:after="0" w:line="251"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Date or (y) a Qualifying Termination, all Time-Based Units and the target number of Performance-Based Units (as set forth in Sections B(i) and B(ii) as applicable) shall remain eligible to vest and shall vest (without regard to the application of the Applicable Vesting Percentage, in the case of Performance-Based Units), in each case, as of the earlier of (a) a Qualifying Termination or (b) the Vesting Date. Each Restricted Unit that remains eligible to vest following a Change in Control pursuant to the foregoing sentence shall be referred to as a “</w:t>
      </w:r>
      <w:r>
        <w:rPr>
          <w:rFonts w:ascii="Times New Roman" w:cs="Times New Roman" w:eastAsia="Times New Roman" w:hAnsi="Times New Roman"/>
          <w:sz w:val="18"/>
          <w:szCs w:val="18"/>
          <w:b w:val="1"/>
          <w:bCs w:val="1"/>
          <w:color w:val="auto"/>
        </w:rPr>
        <w:t>Vesting-Eligible Unit</w:t>
      </w:r>
      <w:r>
        <w:rPr>
          <w:rFonts w:ascii="Times New Roman" w:cs="Times New Roman" w:eastAsia="Times New Roman" w:hAnsi="Times New Roman"/>
          <w:sz w:val="18"/>
          <w:szCs w:val="18"/>
          <w:color w:val="auto"/>
        </w:rPr>
        <w:t>.” Upon the occurrence of a Change in Control, each Vesting-Eligible Unit shall be converted into an amount in cash equal to the Market Value (as defined in the Management Agreement) of the consideration payable in the Change in Control in respect of each such Vesting-Eligible Unit, and such consideration shall be paid to the Participant promptly following the satisfaction of the vesting conditions set forth in this Section C(ii)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in full on the Vesting Date, or if earlier, upon a Qualifying Termination), and shall automatically be forfeited and shall revert back to the Company if such vesting conditions are not satisfied.</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4"/>
          </w:cols>
          <w:pgMar w:left="436" w:top="251" w:right="479" w:bottom="1440" w:gutter="0" w:footer="0" w:header="0"/>
        </w:sectPr>
      </w:pPr>
    </w:p>
    <w:bookmarkStart w:id="60" w:name="page61"/>
    <w:bookmarkEnd w:id="60"/>
    <w:p>
      <w:pPr>
        <w:ind w:left="364" w:hanging="364"/>
        <w:spacing w:after="0"/>
        <w:tabs>
          <w:tab w:leader="none" w:pos="3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Forfeiture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7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61" w:lineRule="exact"/>
        <w:rPr>
          <w:rFonts w:ascii="Times New Roman" w:cs="Times New Roman" w:eastAsia="Times New Roman" w:hAnsi="Times New Roman"/>
          <w:sz w:val="18"/>
          <w:szCs w:val="18"/>
          <w:color w:val="auto"/>
        </w:rPr>
      </w:pPr>
    </w:p>
    <w:p>
      <w:pPr>
        <w:ind w:left="4" w:right="340" w:firstLine="436"/>
        <w:spacing w:after="0" w:line="261" w:lineRule="auto"/>
        <w:tabs>
          <w:tab w:leader="none" w:pos="83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Performance-Based Units that (x) have not vested as of the earlier of (a) the Vesting Date or (b) the effective date of a Qualifying Termination, or (y) do not become Vesting-Eligible Units upon the occurrence of a Change in Control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any Performance-Based Units above the target numbers set forth in Sections B(i) and B(ii) as applicable), shall automatically be forfeited and shall revert back to the Company without compensation to the Participant.</w:t>
      </w:r>
    </w:p>
    <w:p>
      <w:pPr>
        <w:spacing w:after="0" w:line="179" w:lineRule="exact"/>
        <w:rPr>
          <w:rFonts w:ascii="Times New Roman" w:cs="Times New Roman" w:eastAsia="Times New Roman" w:hAnsi="Times New Roman"/>
          <w:sz w:val="18"/>
          <w:szCs w:val="18"/>
          <w:color w:val="auto"/>
        </w:rPr>
      </w:pPr>
    </w:p>
    <w:p>
      <w:pPr>
        <w:ind w:left="4" w:hanging="4"/>
        <w:spacing w:after="0" w:line="252" w:lineRule="auto"/>
        <w:tabs>
          <w:tab w:leader="none" w:pos="33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9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70" w:right="479" w:bottom="1440" w:gutter="0" w:footer="0" w:header="0"/>
        </w:sectPr>
      </w:pPr>
    </w:p>
    <w:bookmarkStart w:id="61" w:name="page62"/>
    <w:bookmarkEnd w:id="61"/>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Vesting Percentage</w:t>
      </w:r>
      <w:r>
        <w:rPr>
          <w:rFonts w:ascii="Times New Roman" w:cs="Times New Roman" w:eastAsia="Times New Roman" w:hAnsi="Times New Roman"/>
          <w:sz w:val="18"/>
          <w:szCs w:val="18"/>
          <w:color w:val="auto"/>
        </w:rPr>
        <w:t>” means (i) with respect to TSR Performance-Based Units, the TSR Vesting Percentage, and (ii) with respect to Recurrent Consumer Spending Performance-Based Units, the Recurrent Consumer Spending Vesting Percentage.</w:t>
      </w:r>
    </w:p>
    <w:p>
      <w:pPr>
        <w:spacing w:after="0" w:line="155" w:lineRule="exact"/>
        <w:rPr>
          <w:sz w:val="20"/>
          <w:szCs w:val="20"/>
          <w:color w:val="auto"/>
        </w:rPr>
      </w:pPr>
    </w:p>
    <w:p>
      <w:pPr>
        <w:ind w:left="440"/>
        <w:spacing w:after="0"/>
        <w:tabs>
          <w:tab w:leader="none" w:pos="4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Measurement Date</w:t>
      </w:r>
      <w:r>
        <w:rPr>
          <w:rFonts w:ascii="Times New Roman" w:cs="Times New Roman" w:eastAsia="Times New Roman" w:hAnsi="Times New Roman"/>
          <w:sz w:val="18"/>
          <w:szCs w:val="18"/>
          <w:color w:val="auto"/>
        </w:rPr>
        <w:t>” shall mean [</w:t>
        <w:tab/>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-5080</wp:posOffset>
            </wp:positionV>
            <wp:extent cx="114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37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Vesting Date</w:t>
      </w:r>
      <w:r>
        <w:rPr>
          <w:rFonts w:ascii="Times New Roman" w:cs="Times New Roman" w:eastAsia="Times New Roman" w:hAnsi="Times New Roman"/>
          <w:sz w:val="18"/>
          <w:szCs w:val="18"/>
          <w:color w:val="auto"/>
        </w:rPr>
        <w:t>” shall mean [</w:t>
      </w:r>
      <w:r>
        <w:rPr>
          <w:sz w:val="20"/>
          <w:szCs w:val="20"/>
          <w:color w:val="auto"/>
        </w:rPr>
        <w:tab/>
      </w:r>
      <w:r>
        <w:rPr>
          <w:rFonts w:ascii="Times New Roman" w:cs="Times New Roman" w:eastAsia="Times New Roman" w:hAnsi="Times New Roman"/>
          <w:sz w:val="17"/>
          <w:szCs w:val="17"/>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-5080</wp:posOffset>
            </wp:positionV>
            <wp:extent cx="114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79" w:lineRule="exact"/>
        <w:rPr>
          <w:sz w:val="20"/>
          <w:szCs w:val="20"/>
          <w:color w:val="auto"/>
        </w:rPr>
      </w:pPr>
    </w:p>
    <w:p>
      <w:pPr>
        <w:ind w:left="440"/>
        <w:spacing w:after="0"/>
        <w:tabs>
          <w:tab w:leader="none" w:pos="49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Time-Based Vesting Commencement Date</w:t>
      </w:r>
      <w:r>
        <w:rPr>
          <w:rFonts w:ascii="Times New Roman" w:cs="Times New Roman" w:eastAsia="Times New Roman" w:hAnsi="Times New Roman"/>
          <w:sz w:val="18"/>
          <w:szCs w:val="18"/>
          <w:color w:val="auto"/>
        </w:rPr>
        <w:t>” shall mean [</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-5080</wp:posOffset>
            </wp:positionV>
            <wp:extent cx="114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shall mean, as context requires, one or more Time Vesting Dates and/or the Performance Vesting Date.</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66" w:right="4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Clawback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Recovery of Improperly-Awarded Incentive Compensation</w:t>
      </w:r>
    </w:p>
    <w:p>
      <w:pPr>
        <w:spacing w:after="0" w:line="11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Company will use commercially reasonable efforts to implement the following policy through the insertion of contractual provisions in new agreements with applicable employees and through any amendments that may be entered into after the date of the adoption of this policy on November 12, 2010 to existing agreements with Executives (as defined below).</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may require the reimbursement of any bonus or incentive compensation awarded to an Executive and/or effect the cancellation of unvested restricted stock or outstanding stock option awards previously granted to an Executive, in each case, on or after the adoption of this policy on November 12, 2010, but in no event more than four years after the award of such compensation where: (1) the payment was predicated upon achieving certain financial results that were subsequently determined to have been erroneously reported; (2) the Board determines that the Executive engaged in knowing or intentional fraudulent or illegal conduct that caused or substantially caused such erroneous reporting to have occurred; and (3) a lower payment would have been made to the Executive based upon the corrected financial results. In each instance, the Board may, to the extent practicable under applicable law, seek to recover from such Executive on or after the adoption of this policy any amount that was subsequently reduced due to the correction of erroneous reporting and/or effect the cancellation of outstanding restricted stock or stock option awards previously granted to such Executive on or after the date of the adoption of this policy in the amount by which such Executive’s bonus or incentive payments for the relevant period exceeded the lower payment that would have been made based on the corrected financial results.</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shall render a determination pursuant to this policy in each instance where both an erroneous report of financial results has affected the size of a bonus or incentive compensation awarded to an Executive, and where the Board is aware of credible evidence that the Executive may have engaged in such fraudulent or illegal conduct. In determining whether to recover a payment, the Board shall take into account such considerations as it deems appropriate, including, without limitation, whether the assertion of a claim against the Executive could violate applicable law or prejudice the Company’s overall interests and whether other penalties or punishments are being imposed on the Executives, including by third parties, such as law enforcement agencies, regulators or other authorities. The Board shall have sole discretion in determining whether an Executive’s conduct has or has not met any particular standard of conduct under law of Company policy. Any recovery under this policy may be in addition to any other remedies that may be available to the Company under applicable law, including disciplinary actions up to and including termination of employment.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purposes of this policy, the term “Executive” means an “executive officer” as defined in Rule 3b-7 of the Securities Exchange Act of 1934. The right of the Board to assert a recovery claim under this policy shall not survive the occurrence of a change in control of the Company as defined in the relevant incentive compensation plan. This policy shall apply in addition to any right of recovery against the Chief Executive Officer and the Chief Financial Officer under Section 304 of the Sarbanes-Oxley Act of 2002. The Board may delegate one or more of the duties or powers described in this policy to one or more committees of the Board consisting of solely independent directors.</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lowerRoman"/>
      <w:start w:val="1"/>
    </w:lvl>
  </w:abstractNum>
  <w:abstractNum w:abstractNumId="3">
    <w:nsid w:val="5072367"/>
    <w:multiLevelType w:val="hybridMultilevel"/>
    <w:lvl w:ilvl="0">
      <w:lvlJc w:val="left"/>
      <w:lvlText w:val="(%1)"/>
      <w:numFmt w:val="lowerRoman"/>
      <w:start w:val="2"/>
    </w:lvl>
  </w:abstractNum>
  <w:abstractNum w:abstractNumId="4">
    <w:nsid w:val="3804823E"/>
    <w:multiLevelType w:val="hybridMultilevel"/>
    <w:lvl w:ilvl="0">
      <w:lvlJc w:val="left"/>
      <w:lvlText w:val="%1"/>
      <w:numFmt w:val="decimal"/>
      <w:start w:val="104"/>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2"/>
    </w:lvl>
  </w:abstractNum>
  <w:abstractNum w:abstractNumId="7">
    <w:nsid w:val="5C482A97"/>
    <w:multiLevelType w:val="hybridMultilevel"/>
    <w:lvl w:ilvl="0">
      <w:lvlJc w:val="left"/>
      <w:lvlText w:val="%1."/>
      <w:numFmt w:val="decimal"/>
      <w:start w:val="4"/>
    </w:lvl>
  </w:abstractNum>
  <w:abstractNum w:abstractNumId="8">
    <w:nsid w:val="2463B9EA"/>
    <w:multiLevelType w:val="hybridMultilevel"/>
    <w:lvl w:ilvl="0">
      <w:lvlJc w:val="left"/>
      <w:lvlText w:val="%1."/>
      <w:numFmt w:val="decimal"/>
      <w:start w:val="1"/>
    </w:lvl>
    <w:lvl w:ilvl="1">
      <w:lvlJc w:val="left"/>
      <w:lvlText w:val="(%2)"/>
      <w:numFmt w:val="lowerRoman"/>
      <w:start w:val="1"/>
    </w:lvl>
  </w:abstractNum>
  <w:abstractNum w:abstractNumId="9">
    <w:nsid w:val="5E884ADC"/>
    <w:multiLevelType w:val="hybridMultilevel"/>
    <w:lvl w:ilvl="0">
      <w:lvlJc w:val="left"/>
      <w:lvlText w:val="(%1)"/>
      <w:numFmt w:val="lowerRoman"/>
      <w:start w:val="4"/>
    </w:lvl>
  </w:abstractNum>
  <w:abstractNum w:abstractNumId="10">
    <w:nsid w:val="51EAD36B"/>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lvl w:ilvl="3">
      <w:lvlJc w:val="left"/>
      <w:lvlText w:val="-"/>
      <w:numFmt w:val="bullet"/>
      <w:start w:val="1"/>
    </w:lvl>
  </w:abstractNum>
  <w:abstractNum w:abstractNumId="11">
    <w:nsid w:val="2D517796"/>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2">
    <w:nsid w:val="580BD78F"/>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13">
    <w:nsid w:val="153EA438"/>
    <w:multiLevelType w:val="hybridMultilevel"/>
    <w:lvl w:ilvl="0">
      <w:lvlJc w:val="left"/>
      <w:lvlText w:val="%1."/>
      <w:numFmt w:val="decimal"/>
      <w:start w:val="4"/>
    </w:lvl>
    <w:lvl w:ilvl="1">
      <w:lvlJc w:val="left"/>
      <w:lvlText w:val="(%2)"/>
      <w:numFmt w:val="lowerRoman"/>
      <w:start w:val="1"/>
    </w:lvl>
    <w:lvl w:ilvl="2">
      <w:lvlJc w:val="left"/>
      <w:lvlText w:val="-"/>
      <w:numFmt w:val="bullet"/>
      <w:start w:val="1"/>
    </w:lvl>
  </w:abstractNum>
  <w:abstractNum w:abstractNumId="14">
    <w:nsid w:val="3855585C"/>
    <w:multiLevelType w:val="hybridMultilevel"/>
    <w:lvl w:ilvl="0">
      <w:lvlJc w:val="left"/>
      <w:lvlText w:val="(%1)"/>
      <w:numFmt w:val="lowerRoman"/>
      <w:start w:val="3"/>
    </w:lvl>
  </w:abstractNum>
  <w:abstractNum w:abstractNumId="15">
    <w:nsid w:val="70A64E2A"/>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16">
    <w:nsid w:val="6A2342E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3"/>
    </w:lvl>
    <w:lvl w:ilvl="3">
      <w:lvlJc w:val="left"/>
      <w:lvlText w:val="-"/>
      <w:numFmt w:val="bullet"/>
      <w:start w:val="1"/>
    </w:lvl>
  </w:abstractNum>
  <w:abstractNum w:abstractNumId="17">
    <w:nsid w:val="2A487CB0"/>
    <w:multiLevelType w:val="hybridMultilevel"/>
    <w:lvl w:ilvl="0">
      <w:lvlJc w:val="left"/>
      <w:lvlText w:val="%1"/>
      <w:numFmt w:val="lowerRoman"/>
      <w:start w:val="1"/>
    </w:lvl>
    <w:lvl w:ilvl="1">
      <w:lvlJc w:val="left"/>
      <w:lvlText w:val="%2."/>
      <w:numFmt w:val="decimal"/>
      <w:start w:val="7"/>
    </w:lvl>
    <w:lvl w:ilvl="2">
      <w:lvlJc w:val="left"/>
      <w:lvlText w:val="%3"/>
      <w:numFmt w:val="lowerRoman"/>
      <w:start w:val="1"/>
    </w:lvl>
    <w:lvl w:ilvl="3">
      <w:lvlJc w:val="left"/>
      <w:lvlText w:val="-"/>
      <w:numFmt w:val="bullet"/>
      <w:start w:val="1"/>
    </w:lvl>
  </w:abstractNum>
  <w:abstractNum w:abstractNumId="18">
    <w:nsid w:val="1D4ED43B"/>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19">
    <w:nsid w:val="725A06FB"/>
    <w:multiLevelType w:val="hybridMultilevel"/>
    <w:lvl w:ilvl="0">
      <w:lvlJc w:val="left"/>
      <w:lvlText w:val="%1."/>
      <w:numFmt w:val="decimal"/>
      <w:start w:val="9"/>
    </w:lvl>
    <w:lvl w:ilvl="1">
      <w:lvlJc w:val="left"/>
      <w:lvlText w:val="-"/>
      <w:numFmt w:val="bullet"/>
      <w:start w:val="1"/>
    </w:lvl>
  </w:abstractNum>
  <w:abstractNum w:abstractNumId="20">
    <w:nsid w:val="2CD89A32"/>
    <w:multiLevelType w:val="hybridMultilevel"/>
    <w:lvl w:ilvl="0">
      <w:lvlJc w:val="left"/>
      <w:lvlText w:val="%1."/>
      <w:numFmt w:val="decimal"/>
      <w:start w:val="11"/>
    </w:lvl>
    <w:lvl w:ilvl="1">
      <w:lvlJc w:val="left"/>
      <w:lvlText w:val="-"/>
      <w:numFmt w:val="bullet"/>
      <w:start w:val="1"/>
    </w:lvl>
  </w:abstractNum>
  <w:abstractNum w:abstractNumId="21">
    <w:nsid w:val="57E4CCAF"/>
    <w:multiLevelType w:val="hybridMultilevel"/>
    <w:lvl w:ilvl="0">
      <w:lvlJc w:val="left"/>
      <w:lvlText w:val="%1."/>
      <w:numFmt w:val="decimal"/>
      <w:start w:val="13"/>
    </w:lvl>
  </w:abstractNum>
  <w:abstractNum w:abstractNumId="22">
    <w:nsid w:val="7A6D8D3C"/>
    <w:multiLevelType w:val="hybridMultilevel"/>
    <w:lvl w:ilvl="0">
      <w:lvlJc w:val="left"/>
      <w:lvlText w:val="%1."/>
      <w:numFmt w:val="decimal"/>
      <w:start w:val="14"/>
    </w:lvl>
    <w:lvl w:ilvl="1">
      <w:lvlJc w:val="left"/>
      <w:lvlText w:val="-"/>
      <w:numFmt w:val="bullet"/>
      <w:start w:val="1"/>
    </w:lvl>
  </w:abstractNum>
  <w:abstractNum w:abstractNumId="23">
    <w:nsid w:val="4B588F54"/>
    <w:multiLevelType w:val="hybridMultilevel"/>
    <w:lvl w:ilvl="0">
      <w:lvlJc w:val="left"/>
      <w:lvlText w:val="%1."/>
      <w:numFmt w:val="decimal"/>
      <w:start w:val="16"/>
    </w:lvl>
    <w:lvl w:ilvl="1">
      <w:lvlJc w:val="left"/>
      <w:lvlText w:val="-"/>
      <w:numFmt w:val="bullet"/>
      <w:start w:val="1"/>
    </w:lvl>
  </w:abstractNum>
  <w:abstractNum w:abstractNumId="24">
    <w:nsid w:val="542289EC"/>
    <w:multiLevelType w:val="hybridMultilevel"/>
    <w:lvl w:ilvl="0">
      <w:lvlJc w:val="left"/>
      <w:lvlText w:val="%1"/>
      <w:numFmt w:val="lowerRoman"/>
      <w:start w:val="1"/>
    </w:lvl>
    <w:lvl w:ilvl="1">
      <w:lvlJc w:val="left"/>
      <w:lvlText w:val="%2."/>
      <w:numFmt w:val="decimal"/>
      <w:start w:val="20"/>
    </w:lvl>
    <w:lvl w:ilvl="2">
      <w:lvlJc w:val="left"/>
      <w:lvlText w:val="*"/>
      <w:numFmt w:val="bullet"/>
      <w:start w:val="1"/>
    </w:lvl>
    <w:lvl w:ilvl="3">
      <w:lvlJc w:val="left"/>
      <w:lvlText w:val="-"/>
      <w:numFmt w:val="bullet"/>
      <w:start w:val="1"/>
    </w:lvl>
  </w:abstractNum>
  <w:abstractNum w:abstractNumId="25">
    <w:nsid w:val="6DE91B18"/>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3"/>
    </w:lvl>
  </w:abstractNum>
  <w:abstractNum w:abstractNumId="28">
    <w:nsid w:val="32FFF902"/>
    <w:multiLevelType w:val="hybridMultilevel"/>
    <w:lvl w:ilvl="0">
      <w:lvlJc w:val="left"/>
      <w:lvlText w:val="%1."/>
      <w:numFmt w:val="decimal"/>
      <w:start w:val="9"/>
    </w:lvl>
  </w:abstractNum>
  <w:abstractNum w:abstractNumId="29">
    <w:nsid w:val="684A481A"/>
    <w:multiLevelType w:val="hybridMultilevel"/>
    <w:lvl w:ilvl="0">
      <w:lvlJc w:val="left"/>
      <w:lvlText w:val="%1."/>
      <w:numFmt w:val="decimal"/>
      <w:start w:val="10"/>
    </w:lvl>
  </w:abstractNum>
  <w:abstractNum w:abstractNumId="30">
    <w:nsid w:val="579478FE"/>
    <w:multiLevelType w:val="hybridMultilevel"/>
    <w:lvl w:ilvl="0">
      <w:lvlJc w:val="left"/>
      <w:lvlText w:val="%1."/>
      <w:numFmt w:val="decimal"/>
      <w:start w:val="13"/>
    </w:lvl>
    <w:lvl w:ilvl="1">
      <w:lvlJc w:val="left"/>
      <w:lvlText w:val="(%2)"/>
      <w:numFmt w:val="lowerLetter"/>
      <w:start w:val="1"/>
    </w:lvl>
  </w:abstractNum>
  <w:abstractNum w:abstractNumId="31">
    <w:nsid w:val="749ABB43"/>
    <w:multiLevelType w:val="hybridMultilevel"/>
    <w:lvl w:ilvl="0">
      <w:lvlJc w:val="left"/>
      <w:lvlText w:val="%1."/>
      <w:numFmt w:val="upperLetter"/>
      <w:start w:val="1"/>
    </w:lvl>
  </w:abstractNum>
  <w:abstractNum w:abstractNumId="32">
    <w:nsid w:val="3DC240FB"/>
    <w:multiLevelType w:val="hybridMultilevel"/>
    <w:lvl w:ilvl="0">
      <w:lvlJc w:val="left"/>
      <w:lvlText w:val="%1."/>
      <w:numFmt w:val="upperLetter"/>
      <w:start w:val="2"/>
    </w:lvl>
  </w:abstractNum>
  <w:abstractNum w:abstractNumId="33">
    <w:nsid w:val="1BA026FA"/>
    <w:multiLevelType w:val="hybridMultilevel"/>
    <w:lvl w:ilvl="0">
      <w:lvlJc w:val="left"/>
      <w:lvlText w:val="(%1)"/>
      <w:numFmt w:val="lowerRoman"/>
      <w:start w:val="1"/>
    </w:lvl>
  </w:abstractNum>
  <w:abstractNum w:abstractNumId="34">
    <w:nsid w:val="79A1DEAA"/>
    <w:multiLevelType w:val="hybridMultilevel"/>
    <w:lvl w:ilvl="0">
      <w:lvlJc w:val="left"/>
      <w:lvlText w:val="(%1)"/>
      <w:numFmt w:val="lowerRoman"/>
      <w:start w:val="2"/>
    </w:lvl>
  </w:abstractNum>
  <w:abstractNum w:abstractNumId="35">
    <w:nsid w:val="75C6C33A"/>
    <w:multiLevelType w:val="hybridMultilevel"/>
    <w:lvl w:ilvl="0">
      <w:lvlJc w:val="left"/>
      <w:lvlText w:val="%1."/>
      <w:numFmt w:val="upperLetter"/>
      <w:start w:val="3"/>
    </w:lvl>
    <w:lvl w:ilvl="1">
      <w:lvlJc w:val="left"/>
      <w:lvlText w:val="(%2)"/>
      <w:numFmt w:val="lowerRoman"/>
      <w:start w:val="1"/>
    </w:lvl>
  </w:abstractNum>
  <w:abstractNum w:abstractNumId="36">
    <w:nsid w:val="12E685FB"/>
    <w:multiLevelType w:val="hybridMultilevel"/>
    <w:lvl w:ilvl="0">
      <w:lvlJc w:val="left"/>
      <w:lvlText w:val="(%1)"/>
      <w:numFmt w:val="lowerRoman"/>
      <w:start w:val="10"/>
    </w:lvl>
  </w:abstractNum>
  <w:abstractNum w:abstractNumId="37">
    <w:nsid w:val="70C6A529"/>
    <w:multiLevelType w:val="hybridMultilevel"/>
    <w:lvl w:ilvl="0">
      <w:lvlJc w:val="left"/>
      <w:lvlText w:val="%1."/>
      <w:numFmt w:val="upperLetter"/>
      <w:start w:val="4"/>
    </w:lvl>
  </w:abstractNum>
  <w:abstractNum w:abstractNumId="38">
    <w:nsid w:val="520EEDD1"/>
    <w:multiLevelType w:val="hybridMultilevel"/>
    <w:lvl w:ilvl="0">
      <w:lvlJc w:val="left"/>
      <w:lvlText w:val="%1"/>
      <w:numFmt w:val="upperLetter"/>
      <w:start w:val="1"/>
    </w:lvl>
    <w:lvl w:ilvl="1">
      <w:lvlJc w:val="left"/>
      <w:lvlText w:val="(%2)"/>
      <w:numFmt w:val="lowerRoman"/>
      <w:start w:val="1"/>
    </w:lvl>
  </w:abstractNum>
  <w:abstractNum w:abstractNumId="39">
    <w:nsid w:val="374A3FE6"/>
    <w:multiLevelType w:val="hybridMultilevel"/>
    <w:lvl w:ilvl="0">
      <w:lvlJc w:val="left"/>
      <w:lvlText w:val="%1."/>
      <w:numFmt w:val="upperLetter"/>
      <w:start w:val="5"/>
    </w:lvl>
    <w:lvl w:ilvl="1">
      <w:lvlJc w:val="left"/>
      <w:lvlText w:val="%2"/>
      <w:numFmt w:val="lowerRoman"/>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3"/>
    </w:lvl>
  </w:abstractNum>
  <w:abstractNum w:abstractNumId="42">
    <w:nsid w:val="649BB77C"/>
    <w:multiLevelType w:val="hybridMultilevel"/>
    <w:lvl w:ilvl="0">
      <w:lvlJc w:val="left"/>
      <w:lvlText w:val="%1."/>
      <w:numFmt w:val="decimal"/>
      <w:start w:val="9"/>
    </w:lvl>
  </w:abstractNum>
  <w:abstractNum w:abstractNumId="43">
    <w:nsid w:val="275AC794"/>
    <w:multiLevelType w:val="hybridMultilevel"/>
    <w:lvl w:ilvl="0">
      <w:lvlJc w:val="left"/>
      <w:lvlText w:val="%1."/>
      <w:numFmt w:val="decimal"/>
      <w:start w:val="10"/>
    </w:lvl>
  </w:abstractNum>
  <w:abstractNum w:abstractNumId="44">
    <w:nsid w:val="39386575"/>
    <w:multiLevelType w:val="hybridMultilevel"/>
    <w:lvl w:ilvl="0">
      <w:lvlJc w:val="left"/>
      <w:lvlText w:val="%1."/>
      <w:numFmt w:val="decimal"/>
      <w:start w:val="13"/>
    </w:lvl>
    <w:lvl w:ilvl="1">
      <w:lvlJc w:val="left"/>
      <w:lvlText w:val="(%2)"/>
      <w:numFmt w:val="lowerLetter"/>
      <w:start w:val="1"/>
    </w:lvl>
  </w:abstractNum>
  <w:abstractNum w:abstractNumId="45">
    <w:nsid w:val="1CF10FD8"/>
    <w:multiLevelType w:val="hybridMultilevel"/>
    <w:lvl w:ilvl="0">
      <w:lvlJc w:val="left"/>
      <w:lvlText w:val="(%1)"/>
      <w:numFmt w:val="lowerLetter"/>
      <w:start w:val="4"/>
    </w:lvl>
  </w:abstractNum>
  <w:abstractNum w:abstractNumId="46">
    <w:nsid w:val="180115BE"/>
    <w:multiLevelType w:val="hybridMultilevel"/>
    <w:lvl w:ilvl="0">
      <w:lvlJc w:val="left"/>
      <w:lvlText w:val="%1."/>
      <w:numFmt w:val="upperLetter"/>
      <w:start w:val="1"/>
    </w:lvl>
  </w:abstractNum>
  <w:abstractNum w:abstractNumId="47">
    <w:nsid w:val="235BA861"/>
    <w:multiLevelType w:val="hybridMultilevel"/>
    <w:lvl w:ilvl="0">
      <w:lvlJc w:val="left"/>
      <w:lvlText w:val="%1."/>
      <w:numFmt w:val="upperLetter"/>
      <w:start w:val="2"/>
    </w:lvl>
  </w:abstractNum>
  <w:abstractNum w:abstractNumId="48">
    <w:nsid w:val="47398C89"/>
    <w:multiLevelType w:val="hybridMultilevel"/>
    <w:lvl w:ilvl="0">
      <w:lvlJc w:val="left"/>
      <w:lvlText w:val="(%1)"/>
      <w:numFmt w:val="lowerRoman"/>
      <w:start w:val="1"/>
    </w:lvl>
  </w:abstractNum>
  <w:abstractNum w:abstractNumId="49">
    <w:nsid w:val="354FE9F9"/>
    <w:multiLevelType w:val="hybridMultilevel"/>
    <w:lvl w:ilvl="0">
      <w:lvlJc w:val="left"/>
      <w:lvlText w:val="(%1)"/>
      <w:numFmt w:val="lowerRoman"/>
      <w:start w:val="2"/>
    </w:lvl>
  </w:abstractNum>
  <w:abstractNum w:abstractNumId="50">
    <w:nsid w:val="15B5AF5C"/>
    <w:multiLevelType w:val="hybridMultilevel"/>
    <w:lvl w:ilvl="0">
      <w:lvlJc w:val="left"/>
      <w:lvlText w:val="%1."/>
      <w:numFmt w:val="upperLetter"/>
      <w:start w:val="3"/>
    </w:lvl>
    <w:lvl w:ilvl="1">
      <w:lvlJc w:val="left"/>
      <w:lvlText w:val="(%2)"/>
      <w:numFmt w:val="lowerRoman"/>
      <w:start w:val="1"/>
    </w:lvl>
  </w:abstractNum>
  <w:abstractNum w:abstractNumId="51">
    <w:nsid w:val="741226BB"/>
    <w:multiLevelType w:val="hybridMultilevel"/>
    <w:lvl w:ilvl="0">
      <w:lvlJc w:val="left"/>
      <w:lvlText w:val="(%1)"/>
      <w:numFmt w:val="lowerRoman"/>
      <w:start w:val="10"/>
    </w:lvl>
  </w:abstractNum>
  <w:abstractNum w:abstractNumId="52">
    <w:nsid w:val="D34B6A8"/>
    <w:multiLevelType w:val="hybridMultilevel"/>
    <w:lvl w:ilvl="0">
      <w:lvlJc w:val="left"/>
      <w:lvlText w:val="%1."/>
      <w:numFmt w:val="upperLetter"/>
      <w:start w:val="4"/>
    </w:lvl>
  </w:abstractNum>
  <w:abstractNum w:abstractNumId="53">
    <w:nsid w:val="10233C99"/>
    <w:multiLevelType w:val="hybridMultilevel"/>
    <w:lvl w:ilvl="0">
      <w:lvlJc w:val="left"/>
      <w:lvlText w:val="%1"/>
      <w:numFmt w:val="upperLetter"/>
      <w:start w:val="1"/>
    </w:lvl>
    <w:lvl w:ilvl="1">
      <w:lvlJc w:val="left"/>
      <w:lvlText w:val="(%2)"/>
      <w:numFmt w:val="lowerRoman"/>
      <w:start w:val="1"/>
    </w:lvl>
  </w:abstractNum>
  <w:abstractNum w:abstractNumId="54">
    <w:nsid w:val="3F6AB60F"/>
    <w:multiLevelType w:val="hybridMultilevel"/>
    <w:lvl w:ilvl="0">
      <w:lvlJc w:val="left"/>
      <w:lvlText w:val="%1."/>
      <w:numFmt w:val="upperLetter"/>
      <w:start w:val="5"/>
    </w:lvl>
    <w:lvl w:ilvl="1">
      <w:lvlJc w:val="left"/>
      <w:lvlText w:val="%2"/>
      <w:numFmt w:val="lowerRoman"/>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3"/>
    </w:lvl>
  </w:abstractNum>
  <w:abstractNum w:abstractNumId="57">
    <w:nsid w:val="77AE35EB"/>
    <w:multiLevelType w:val="hybridMultilevel"/>
    <w:lvl w:ilvl="0">
      <w:lvlJc w:val="left"/>
      <w:lvlText w:val="%1."/>
      <w:numFmt w:val="decimal"/>
      <w:start w:val="9"/>
    </w:lvl>
  </w:abstractNum>
  <w:abstractNum w:abstractNumId="58">
    <w:nsid w:val="579BE4F1"/>
    <w:multiLevelType w:val="hybridMultilevel"/>
    <w:lvl w:ilvl="0">
      <w:lvlJc w:val="left"/>
      <w:lvlText w:val="%1."/>
      <w:numFmt w:val="decimal"/>
      <w:start w:val="10"/>
    </w:lvl>
  </w:abstractNum>
  <w:abstractNum w:abstractNumId="59">
    <w:nsid w:val="310C50B3"/>
    <w:multiLevelType w:val="hybridMultilevel"/>
    <w:lvl w:ilvl="0">
      <w:lvlJc w:val="left"/>
      <w:lvlText w:val="%1."/>
      <w:numFmt w:val="decimal"/>
      <w:start w:val="13"/>
    </w:lvl>
    <w:lvl w:ilvl="1">
      <w:lvlJc w:val="left"/>
      <w:lvlText w:val="(%2)"/>
      <w:numFmt w:val="lowerLetter"/>
      <w:start w:val="1"/>
    </w:lvl>
  </w:abstractNum>
  <w:abstractNum w:abstractNumId="60">
    <w:nsid w:val="5FF87E05"/>
    <w:multiLevelType w:val="hybridMultilevel"/>
    <w:lvl w:ilvl="0">
      <w:lvlJc w:val="left"/>
      <w:lvlText w:val="%1."/>
      <w:numFmt w:val="upperLetter"/>
      <w:start w:val="1"/>
    </w:lvl>
  </w:abstractNum>
  <w:abstractNum w:abstractNumId="61">
    <w:nsid w:val="2F305DEF"/>
    <w:multiLevelType w:val="hybridMultilevel"/>
    <w:lvl w:ilvl="0">
      <w:lvlJc w:val="left"/>
      <w:lvlText w:val="(%1)"/>
      <w:numFmt w:val="lowerRoman"/>
      <w:start w:val="2"/>
    </w:lvl>
  </w:abstractNum>
  <w:abstractNum w:abstractNumId="62">
    <w:nsid w:val="25A70BF7"/>
    <w:multiLevelType w:val="hybridMultilevel"/>
    <w:lvl w:ilvl="0">
      <w:lvlJc w:val="left"/>
      <w:lvlText w:val="%1."/>
      <w:numFmt w:val="upperLetter"/>
      <w:start w:val="2"/>
    </w:lvl>
  </w:abstractNum>
  <w:abstractNum w:abstractNumId="63">
    <w:nsid w:val="1DBABF00"/>
    <w:multiLevelType w:val="hybridMultilevel"/>
    <w:lvl w:ilvl="0">
      <w:lvlJc w:val="left"/>
      <w:lvlText w:val="(%1)"/>
      <w:numFmt w:val="lowerRoman"/>
      <w:start w:val="1"/>
    </w:lvl>
  </w:abstractNum>
  <w:abstractNum w:abstractNumId="64">
    <w:nsid w:val="4AD084E9"/>
    <w:multiLevelType w:val="hybridMultilevel"/>
    <w:lvl w:ilvl="0">
      <w:lvlJc w:val="left"/>
      <w:lvlText w:val="(%1)"/>
      <w:numFmt w:val="lowerRoman"/>
      <w:start w:val="2"/>
    </w:lvl>
  </w:abstractNum>
  <w:abstractNum w:abstractNumId="65">
    <w:nsid w:val="1F48EAA1"/>
    <w:multiLevelType w:val="hybridMultilevel"/>
    <w:lvl w:ilvl="0">
      <w:lvlJc w:val="left"/>
      <w:lvlText w:val="%1."/>
      <w:numFmt w:val="upperLetter"/>
      <w:start w:val="3"/>
    </w:lvl>
    <w:lvl w:ilvl="1">
      <w:lvlJc w:val="left"/>
      <w:lvlText w:val="(%2)"/>
      <w:numFmt w:val="lowerRoman"/>
      <w:start w:val="1"/>
    </w:lvl>
  </w:abstractNum>
  <w:abstractNum w:abstractNumId="66">
    <w:nsid w:val="1381823A"/>
    <w:multiLevelType w:val="hybridMultilevel"/>
    <w:lvl w:ilvl="0">
      <w:lvlJc w:val="left"/>
      <w:lvlText w:val="(%1)"/>
      <w:numFmt w:val="lowerRoman"/>
      <w:start w:val="10"/>
    </w:lvl>
  </w:abstractNum>
  <w:abstractNum w:abstractNumId="67">
    <w:nsid w:val="5DB70AE5"/>
    <w:multiLevelType w:val="hybridMultilevel"/>
    <w:lvl w:ilvl="0">
      <w:lvlJc w:val="left"/>
      <w:lvlText w:val="%1."/>
      <w:numFmt w:val="upp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2022-05-05T07:06:15Z</dcterms:created>
  <dcterms:modified xsi:type="dcterms:W3CDTF">2022-05-05T07:06:15Z</dcterms:modified>
</cp:coreProperties>
</file>