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Siminoff Ellen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25"/>
        <w:gridCol w:w="793"/>
        <w:gridCol w:w="614"/>
        <w:gridCol w:w="346"/>
        <w:gridCol w:w="780"/>
        <w:gridCol w:w="434"/>
        <w:gridCol w:w="853"/>
        <w:gridCol w:w="1138"/>
        <w:gridCol w:w="983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8,571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252.53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D&amp;E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252.53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EFS 2020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granted under the Issuer's Amended and Restated Take-Two Interactive Software, Inc. 2017 Stock Incentive Plan in lieu of the quarterly non-employee director cash retainer and applicable committee fees at the election of the Reporting Person, which shares were fully vested upon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Sale of shares pursuant to a Rule 10b5-1 trading plan adopted by the D&amp;E Living Trust and the EFS 2020 Irrevocable Trust on February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directly by the D&amp;E Living Trust. The Reporting Person and David Siminoff serve as co-trustees and retain voting and dispositive power with respect to the shares held by the D&amp;E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held directly by the EFS 2020 Irrevocable Trust. The Reporting Person serves as trustee and holds voting and dispositive power with respect to these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Ellen F. Siminoff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64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3932</Characters>
  <CharactersWithSpaces>4594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