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5363845</wp:posOffset>
            </wp:positionH>
            <wp:positionV relativeFrom="paragraph">
              <wp:posOffset>-625475</wp:posOffset>
            </wp:positionV>
            <wp:extent cx="8255" cy="6261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4060825</wp:posOffset>
            </wp:positionH>
            <wp:positionV relativeFrom="paragraph">
              <wp:posOffset>-633730</wp:posOffset>
            </wp:positionV>
            <wp:extent cx="8255" cy="6343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4086225</wp:posOffset>
            </wp:positionH>
            <wp:positionV relativeFrom="paragraph">
              <wp:posOffset>-608330</wp:posOffset>
            </wp:positionV>
            <wp:extent cx="1260475" cy="5835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-1557020</wp:posOffset>
            </wp:positionH>
            <wp:positionV relativeFrom="paragraph">
              <wp:posOffset>32385</wp:posOffset>
            </wp:positionV>
            <wp:extent cx="6964045" cy="19380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93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36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7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330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80" w:type="dxa"/>
            <w:vAlign w:val="bottom"/>
            <w:gridSpan w:val="2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u w:val="single" w:color="auto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1"/>
                  <w:szCs w:val="21"/>
                  <w:u w:val="single" w:color="auto"/>
                  <w:color w:val="0000EE"/>
                </w:rPr>
                <w:t>Emerson Daniel P</w:t>
              </w:r>
            </w:hyperlink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40" w:type="dxa"/>
            <w:vAlign w:val="bottom"/>
            <w:gridSpan w:val="3"/>
          </w:tcPr>
          <w:p>
            <w:pPr>
              <w:spacing w:after="0" w:line="107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4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>TAKE TWO INTERACTIVE</w:t>
              </w:r>
            </w:hyperlink>
          </w:p>
        </w:tc>
        <w:tc>
          <w:tcPr>
            <w:tcW w:w="18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4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740" w:type="dxa"/>
            <w:vAlign w:val="bottom"/>
            <w:gridSpan w:val="3"/>
            <w:vMerge w:val="restart"/>
          </w:tcPr>
          <w:p>
            <w:pPr>
              <w:spacing w:after="0" w:line="220" w:lineRule="exact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4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 xml:space="preserve">SOFTWARE INC </w:t>
              </w:r>
              <w:r>
                <w:rPr>
                  <w:rFonts w:ascii="Arial" w:cs="Arial" w:eastAsia="Arial" w:hAnsi="Arial"/>
                  <w:sz w:val="21"/>
                  <w:szCs w:val="21"/>
                  <w:color w:val="000000"/>
                </w:rPr>
                <w:t>[</w:t>
              </w:r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 xml:space="preserve"> </w:t>
              </w:r>
              <w:r>
                <w:rPr>
                  <w:rFonts w:ascii="Arial" w:cs="Arial" w:eastAsia="Arial" w:hAnsi="Arial"/>
                  <w:sz w:val="17"/>
                  <w:szCs w:val="17"/>
                  <w:color w:val="0000FF"/>
                </w:rPr>
                <w:t>TTWO</w:t>
              </w:r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 xml:space="preserve"> </w:t>
              </w:r>
              <w:r>
                <w:rPr>
                  <w:rFonts w:ascii="Arial" w:cs="Arial" w:eastAsia="Arial" w:hAnsi="Arial"/>
                  <w:sz w:val="21"/>
                  <w:szCs w:val="21"/>
                  <w:color w:val="000000"/>
                </w:rPr>
                <w:t>]</w:t>
              </w:r>
            </w:hyperlink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4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4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spacing w:after="0" w:line="10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(Last)</w:t>
            </w:r>
          </w:p>
        </w:tc>
        <w:tc>
          <w:tcPr>
            <w:tcW w:w="1400" w:type="dxa"/>
            <w:vAlign w:val="bottom"/>
            <w:vMerge w:val="restart"/>
          </w:tcPr>
          <w:p>
            <w:pPr>
              <w:ind w:left="440"/>
              <w:spacing w:after="0" w:line="10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(First)</w:t>
            </w:r>
          </w:p>
        </w:tc>
        <w:tc>
          <w:tcPr>
            <w:tcW w:w="1460" w:type="dxa"/>
            <w:vAlign w:val="bottom"/>
            <w:vMerge w:val="restart"/>
          </w:tcPr>
          <w:p>
            <w:pPr>
              <w:ind w:left="260"/>
              <w:spacing w:after="0" w:line="10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0" w:type="dxa"/>
            <w:vAlign w:val="bottom"/>
            <w:gridSpan w:val="2"/>
            <w:vMerge w:val="restart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Chief Legal Officer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4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C/O TAKE-TWO INTERACTIVE SOFTWARE,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00" w:type="dxa"/>
            <w:vAlign w:val="bottom"/>
            <w:gridSpan w:val="3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06/26/2020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INC.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110 WEST 44TH STREET</w:t>
            </w: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4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330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3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7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sectPr>
          <w:pgSz w:w="11900" w:h="16838" w:orient="portrait"/>
          <w:cols w:equalWidth="0" w:num="1">
            <w:col w:w="11080"/>
          </w:cols>
          <w:pgMar w:left="460" w:top="225" w:right="359" w:bottom="1440" w:gutter="0" w:footer="0" w:header="0"/>
          <w:type w:val="continuous"/>
        </w:sectPr>
      </w:pPr>
    </w:p>
    <w:p>
      <w:pPr>
        <w:spacing w:after="0" w:line="50" w:lineRule="exact"/>
        <w:rPr>
          <w:sz w:val="20"/>
          <w:szCs w:val="20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11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3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NEW YORK</w:t>
            </w:r>
          </w:p>
        </w:tc>
        <w:tc>
          <w:tcPr>
            <w:tcW w:w="9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NY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10036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9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67945</wp:posOffset>
            </wp:positionV>
            <wp:extent cx="6964045" cy="11252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125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327" w:hanging="327"/>
        <w:spacing w:after="0"/>
        <w:tabs>
          <w:tab w:leader="none" w:pos="327" w:val="left"/>
        </w:tabs>
        <w:numPr>
          <w:ilvl w:val="0"/>
          <w:numId w:val="1"/>
        </w:numPr>
        <w:rPr>
          <w:rFonts w:ascii="Arial" w:cs="Arial" w:eastAsia="Arial" w:hAnsi="Arial"/>
          <w:sz w:val="17"/>
          <w:szCs w:val="17"/>
          <w:color w:val="0000FF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79" w:lineRule="exact"/>
        <w:rPr>
          <w:rFonts w:ascii="Arial" w:cs="Arial" w:eastAsia="Arial" w:hAnsi="Arial"/>
          <w:sz w:val="17"/>
          <w:szCs w:val="17"/>
          <w:color w:val="0000FF"/>
        </w:rPr>
      </w:pPr>
    </w:p>
    <w:p>
      <w:pPr>
        <w:ind w:left="327" w:right="500"/>
        <w:spacing w:after="0" w:line="253" w:lineRule="auto"/>
        <w:rPr>
          <w:rFonts w:ascii="Arial" w:cs="Arial" w:eastAsia="Arial" w:hAnsi="Arial"/>
          <w:sz w:val="17"/>
          <w:szCs w:val="17"/>
          <w:color w:val="0000FF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 Person</w:t>
      </w:r>
    </w:p>
    <w:p>
      <w:pPr>
        <w:spacing w:after="0" w:line="479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7213" w:space="720"/>
            <w:col w:w="3147"/>
          </w:cols>
          <w:pgMar w:left="460" w:top="225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7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8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4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80" w:type="dxa"/>
            <w:vAlign w:val="bottom"/>
            <w:gridSpan w:val="6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ind w:left="5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1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0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06/26/2020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2"/>
              </w:rPr>
              <w:t>5,324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92"/>
                <w:vertAlign w:val="superscript"/>
              </w:rPr>
              <w:t>(1)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7"/>
              </w:rPr>
              <w:t>D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140.5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46,151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80" w:type="dxa"/>
            <w:vAlign w:val="bottom"/>
            <w:gridSpan w:val="10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4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Amount of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4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4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-1748155</wp:posOffset>
            </wp:positionV>
            <wp:extent cx="7031355" cy="17938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355" cy="179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This transaction was effected pursuant to a previously established Rule 10b5-1 trading plan entered into by the Reporting Person.</w:t>
      </w:r>
    </w:p>
    <w:p>
      <w:pPr>
        <w:spacing w:after="0" w:line="50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40" w:right="240" w:firstLine="7"/>
        <w:spacing w:after="0" w:line="266" w:lineRule="auto"/>
        <w:tabs>
          <w:tab w:leader="none" w:pos="173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Includes (i) 5,319 shares of Common Stock, (ii) 6,728 unvested time-based restricted stock units, and (iii) 34,104 unvested performance-based restricted stock units. Such unvested awards will vest, or fail to vest, in accordance with the terms of the applicable award agreements.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tbl>
      <w:tblPr>
        <w:tblLayout w:type="fixed"/>
        <w:tblInd w:w="65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/s/ Daniel Emerson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06/30/2020</w:t>
            </w:r>
          </w:p>
        </w:tc>
      </w:tr>
      <w:tr>
        <w:trPr>
          <w:trHeight w:val="233"/>
        </w:trPr>
        <w:tc>
          <w:tcPr>
            <w:tcW w:w="20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</w:tr>
    </w:tbl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X"/>
      <w:numFmt w:val="bullet"/>
      <w:start w:val="1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3" Type="http://schemas.openxmlformats.org/officeDocument/2006/relationships/hyperlink" Target="http://www.sec.gov/cgi-bin/browse-edgar?action=getcompany&amp;CIK=0001623654" TargetMode="External"/><Relationship Id="rId14" Type="http://schemas.openxmlformats.org/officeDocument/2006/relationships/hyperlink" Target="http://www.sec.gov/cgi-bin/browse-edgar?action=getcompany&amp;CIK=0000946581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2020-06-30T18:02:23Z</dcterms:created>
  <dcterms:modified xsi:type="dcterms:W3CDTF">2020-06-30T18:02:23Z</dcterms:modified>
</cp:coreProperties>
</file>