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0001223489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Take-Two Interactive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001-34003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1-646-536-2842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 Strauss Zelnick</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15446900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4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6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8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9"/>
              </w:rPr>
              <w:t>05/30/2025</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Take Two</w:t>
            </w:r>
          </w:p>
        </w:tc>
        <w:tc>
          <w:tcPr>
            <w:tcW w:w="224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30985</w:t>
            </w:r>
          </w:p>
        </w:tc>
        <w:tc>
          <w:tcPr>
            <w:tcW w:w="26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7"/>
              </w:rPr>
              <w:t>05/30/2025 Compensation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Interative</w:t>
            </w:r>
          </w:p>
        </w:tc>
        <w:tc>
          <w:tcPr>
            <w:tcW w:w="2240" w:type="dxa"/>
            <w:vAlign w:val="bottom"/>
            <w:vMerge w:val="continue"/>
          </w:tcPr>
          <w:p>
            <w:pPr>
              <w:spacing w:after="0"/>
              <w:rPr>
                <w:sz w:val="21"/>
                <w:szCs w:val="21"/>
                <w:color w:val="auto"/>
              </w:rPr>
            </w:pPr>
          </w:p>
        </w:tc>
        <w:tc>
          <w:tcPr>
            <w:tcW w:w="2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8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9"/>
              </w:rPr>
              <w:t>11/24/2020</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Take Two</w:t>
            </w:r>
          </w:p>
        </w:tc>
        <w:tc>
          <w:tcPr>
            <w:tcW w:w="224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7"/>
              </w:rPr>
              <w:t>11/24/2020 Compensation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Interactive</w:t>
            </w:r>
          </w:p>
        </w:tc>
        <w:tc>
          <w:tcPr>
            <w:tcW w:w="2240" w:type="dxa"/>
            <w:vAlign w:val="bottom"/>
            <w:vMerge w:val="continue"/>
          </w:tcPr>
          <w:p>
            <w:pPr>
              <w:spacing w:after="0"/>
              <w:rPr>
                <w:sz w:val="21"/>
                <w:szCs w:val="21"/>
                <w:color w:val="auto"/>
              </w:rPr>
            </w:pPr>
          </w:p>
        </w:tc>
        <w:tc>
          <w:tcPr>
            <w:tcW w:w="2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8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9"/>
              </w:rPr>
              <w:t>09/30/2020</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Take Two</w:t>
            </w:r>
          </w:p>
        </w:tc>
        <w:tc>
          <w:tcPr>
            <w:tcW w:w="224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7"/>
              </w:rPr>
              <w:t>09/30/2020 Compensation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Interactive</w:t>
            </w:r>
          </w:p>
        </w:tc>
        <w:tc>
          <w:tcPr>
            <w:tcW w:w="2240" w:type="dxa"/>
            <w:vAlign w:val="bottom"/>
            <w:vMerge w:val="continue"/>
          </w:tcPr>
          <w:p>
            <w:pPr>
              <w:spacing w:after="0"/>
              <w:rPr>
                <w:sz w:val="21"/>
                <w:szCs w:val="21"/>
                <w:color w:val="auto"/>
              </w:rPr>
            </w:pPr>
          </w:p>
        </w:tc>
        <w:tc>
          <w:tcPr>
            <w:tcW w:w="2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8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9"/>
              </w:rPr>
              <w:t>05/31/2024</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Take Two</w:t>
            </w:r>
          </w:p>
        </w:tc>
        <w:tc>
          <w:tcPr>
            <w:tcW w:w="224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13299</w:t>
            </w:r>
          </w:p>
        </w:tc>
        <w:tc>
          <w:tcPr>
            <w:tcW w:w="26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7"/>
              </w:rPr>
              <w:t>05/31/2024 Compensation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Interactive</w:t>
            </w:r>
          </w:p>
        </w:tc>
        <w:tc>
          <w:tcPr>
            <w:tcW w:w="2240" w:type="dxa"/>
            <w:vAlign w:val="bottom"/>
            <w:vMerge w:val="continue"/>
          </w:tcPr>
          <w:p>
            <w:pPr>
              <w:spacing w:after="0"/>
              <w:rPr>
                <w:sz w:val="21"/>
                <w:szCs w:val="21"/>
                <w:color w:val="auto"/>
              </w:rPr>
            </w:pPr>
          </w:p>
        </w:tc>
        <w:tc>
          <w:tcPr>
            <w:tcW w:w="2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8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9"/>
              </w:rPr>
              <w:t>04/13/2021</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Take Two</w:t>
            </w:r>
          </w:p>
        </w:tc>
        <w:tc>
          <w:tcPr>
            <w:tcW w:w="224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5708</w:t>
            </w:r>
          </w:p>
        </w:tc>
        <w:tc>
          <w:tcPr>
            <w:tcW w:w="264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7"/>
              </w:rPr>
              <w:t>04/13/2021 Compensation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Interactive</w:t>
            </w:r>
          </w:p>
        </w:tc>
        <w:tc>
          <w:tcPr>
            <w:tcW w:w="2240" w:type="dxa"/>
            <w:vAlign w:val="bottom"/>
            <w:vMerge w:val="continue"/>
          </w:tcPr>
          <w:p>
            <w:pPr>
              <w:spacing w:after="0"/>
              <w:rPr>
                <w:sz w:val="21"/>
                <w:szCs w:val="21"/>
                <w:color w:val="auto"/>
              </w:rPr>
            </w:pPr>
          </w:p>
        </w:tc>
        <w:tc>
          <w:tcPr>
            <w:tcW w:w="2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w:t>
            </w: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9"/>
              </w:rPr>
              <w:t>05/26/2026 Acquired as a gift</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Zelnick/Belzberg</w:t>
            </w:r>
          </w:p>
        </w:tc>
        <w:tc>
          <w:tcPr>
            <w:tcW w:w="22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06/15/2010 13017</w:t>
            </w:r>
          </w:p>
        </w:tc>
        <w:tc>
          <w:tcPr>
            <w:tcW w:w="26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05/26/2026 None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Living Trust</w:t>
            </w: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w:t>
            </w:r>
          </w:p>
        </w:tc>
        <w:tc>
          <w:tcPr>
            <w:tcW w:w="2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9"/>
              </w:rPr>
              <w:t>05/26/2026 Acquired as a gift</w:t>
            </w:r>
          </w:p>
        </w:tc>
        <w:tc>
          <w:tcPr>
            <w:tcW w:w="18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Zelnick/Belzberg</w:t>
            </w:r>
          </w:p>
        </w:tc>
        <w:tc>
          <w:tcPr>
            <w:tcW w:w="22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06/15/2011 6983</w:t>
            </w:r>
          </w:p>
        </w:tc>
        <w:tc>
          <w:tcPr>
            <w:tcW w:w="26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05/26/2026 None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Living Trust</w:t>
            </w: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-3984625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-3333115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-2681605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-2030095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-1378585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-804545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-307340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Zelnick/Belzberg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52054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11158758.72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Zelnick/Belzberg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7946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1701495.26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Selling 70,000 shares of TTWO total: 44,292 shares sold under The Zelnick/Belzberg Living Trust, 5,708 shares sold</w:t>
      </w:r>
    </w:p>
    <w:p>
      <w:pPr>
        <w:spacing w:after="0" w:line="26" w:lineRule="exact"/>
        <w:rPr>
          <w:sz w:val="20"/>
          <w:szCs w:val="20"/>
          <w:color w:val="auto"/>
        </w:rPr>
      </w:pPr>
    </w:p>
    <w:p>
      <w:pPr>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under the Wendy Jay Belzberg 2012 Family Trust dtd 12/14/2012 and 20,000 shares have been donated from The Zelnick/Belzberg Living Trust to the The Zelnick/Belzberg Charitable Trust and sold under the The Zelnick/Belzberg</w:t>
      </w:r>
    </w:p>
    <w:p>
      <w:pPr>
        <w:ind w:left="940"/>
        <w:spacing w:after="0"/>
        <w:rPr>
          <w:sz w:val="20"/>
          <w:szCs w:val="20"/>
          <w:color w:val="auto"/>
        </w:rPr>
      </w:pPr>
      <w:r>
        <w:rPr>
          <w:rFonts w:ascii="Times New Roman" w:cs="Times New Roman" w:eastAsia="Times New Roman" w:hAnsi="Times New Roman"/>
          <w:sz w:val="22"/>
          <w:szCs w:val="22"/>
          <w:color w:val="auto"/>
        </w:rPr>
        <w:t>Charitable Trust.</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84"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Goldman Sachs &amp; Co. LLC on behalf of H. Strauss Zelnick</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2026-05-26T16:51:02Z</dcterms:created>
  <dcterms:modified xsi:type="dcterms:W3CDTF">2026-05-26T16:51:02Z</dcterms:modified>
</cp:coreProperties>
</file>