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460" w:type="dxa"/>
            <w:vAlign w:val="bottom"/>
            <w:gridSpan w:val="2"/>
            <w:vMerge w:val="restart"/>
          </w:tcPr>
          <w:p>
            <w:pPr>
              <w:spacing w:after="0" w:line="250" w:lineRule="exact"/>
              <w:rPr>
                <w:rFonts w:ascii="Arial" w:cs="Arial" w:eastAsia="Arial" w:hAnsi="Arial"/>
                <w:sz w:val="22"/>
                <w:szCs w:val="22"/>
                <w:color w:val="0000EE"/>
                <w:w w:val="91"/>
              </w:rPr>
            </w:pPr>
            <w:hyperlink r:id="rId12">
              <w:r>
                <w:rPr>
                  <w:rFonts w:ascii="Arial" w:cs="Arial" w:eastAsia="Arial" w:hAnsi="Arial"/>
                  <w:sz w:val="22"/>
                  <w:szCs w:val="22"/>
                  <w:color w:val="0000EE"/>
                  <w:w w:val="91"/>
                </w:rPr>
                <w:t>Goldstein Lainie</w:t>
              </w:r>
            </w:hyperlink>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5"/>
                <w:szCs w:val="5"/>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60" w:type="dxa"/>
            <w:vAlign w:val="bottom"/>
            <w:gridSpan w:val="2"/>
          </w:tcPr>
          <w:p>
            <w:pPr>
              <w:spacing w:after="0"/>
              <w:rPr>
                <w:sz w:val="4"/>
                <w:szCs w:val="4"/>
                <w:color w:val="auto"/>
              </w:rPr>
            </w:pPr>
          </w:p>
        </w:tc>
        <w:tc>
          <w:tcPr>
            <w:tcW w:w="78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line="155"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5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3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20" w:type="dxa"/>
            <w:vAlign w:val="bottom"/>
            <w:tcBorders>
              <w:top w:val="single" w:sz="8" w:color="EEEEEE"/>
            </w:tcBorders>
          </w:tcPr>
          <w:p>
            <w:pPr>
              <w:spacing w:after="0"/>
              <w:rPr>
                <w:sz w:val="10"/>
                <w:szCs w:val="10"/>
                <w:color w:val="auto"/>
              </w:rPr>
            </w:pPr>
          </w:p>
        </w:tc>
        <w:tc>
          <w:tcPr>
            <w:tcW w:w="640" w:type="dxa"/>
            <w:vAlign w:val="bottom"/>
            <w:tcBorders>
              <w:top w:val="single" w:sz="8" w:color="EEEEEE"/>
            </w:tcBorders>
          </w:tcPr>
          <w:p>
            <w:pPr>
              <w:spacing w:after="0"/>
              <w:rPr>
                <w:sz w:val="10"/>
                <w:szCs w:val="10"/>
                <w:color w:val="auto"/>
              </w:rPr>
            </w:pPr>
          </w:p>
        </w:tc>
        <w:tc>
          <w:tcPr>
            <w:tcW w:w="780" w:type="dxa"/>
            <w:vAlign w:val="bottom"/>
            <w:tcBorders>
              <w:top w:val="single" w:sz="8" w:color="EEEEEE"/>
            </w:tcBorders>
          </w:tcPr>
          <w:p>
            <w:pPr>
              <w:spacing w:after="0"/>
              <w:rPr>
                <w:sz w:val="10"/>
                <w:szCs w:val="10"/>
                <w:color w:val="auto"/>
              </w:rPr>
            </w:pPr>
          </w:p>
        </w:tc>
        <w:tc>
          <w:tcPr>
            <w:tcW w:w="15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2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420" w:type="dxa"/>
            <w:vAlign w:val="bottom"/>
            <w:gridSpan w:val="2"/>
            <w:vMerge w:val="restart"/>
          </w:tcPr>
          <w:p>
            <w:pPr>
              <w:ind w:left="460"/>
              <w:spacing w:after="0" w:line="104" w:lineRule="exact"/>
              <w:rPr>
                <w:sz w:val="20"/>
                <w:szCs w:val="20"/>
                <w:color w:val="auto"/>
              </w:rPr>
            </w:pPr>
            <w:r>
              <w:rPr>
                <w:rFonts w:ascii="Arial" w:cs="Arial" w:eastAsia="Arial" w:hAnsi="Arial"/>
                <w:sz w:val="12"/>
                <w:szCs w:val="12"/>
                <w:color w:val="auto"/>
              </w:rPr>
              <w:t>(First)</w:t>
            </w:r>
          </w:p>
        </w:tc>
        <w:tc>
          <w:tcPr>
            <w:tcW w:w="1560" w:type="dxa"/>
            <w:vAlign w:val="bottom"/>
            <w:vMerge w:val="restart"/>
          </w:tcPr>
          <w:p>
            <w:pPr>
              <w:ind w:left="30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94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05/31/2019</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Arial" w:cs="Arial" w:eastAsia="Arial" w:hAnsi="Arial"/>
                <w:sz w:val="18"/>
                <w:szCs w:val="18"/>
                <w:color w:val="0000FF"/>
              </w:rPr>
              <w:t>110 WEST 44TH STREET</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10036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05/31/2019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18,099</w:t>
            </w:r>
            <w:r>
              <w:rPr>
                <w:rFonts w:ascii="Arial" w:cs="Arial" w:eastAsia="Arial" w:hAnsi="Arial"/>
                <w:sz w:val="22"/>
                <w:szCs w:val="22"/>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108.15</w:t>
            </w:r>
          </w:p>
        </w:tc>
        <w:tc>
          <w:tcPr>
            <w:tcW w:w="122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223,263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06/01/2019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52,170</w:t>
            </w:r>
            <w:r>
              <w:rPr>
                <w:rFonts w:ascii="Arial" w:cs="Arial" w:eastAsia="Arial" w:hAnsi="Arial"/>
                <w:sz w:val="22"/>
                <w:szCs w:val="22"/>
                <w:color w:val="008000"/>
                <w:w w:val="87"/>
                <w:vertAlign w:val="superscript"/>
              </w:rPr>
              <w:t>(2)(3)</w:t>
            </w:r>
          </w:p>
        </w:tc>
        <w:tc>
          <w:tcPr>
            <w:tcW w:w="3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275,433</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represents (i) 10,411 shares withheld by the Issuer for payment of withholding tax liability incurred upon the vesting of time-based and performance-based restricted stock units originally granted on June 1, 2016, which vested on May 31, 2019, (ii) 5,950 shares withheld by the Issuer for payment of withholding tax liability incurred upon the vesting of time-based and performance-based restricted stock units originally granted on June 1, 2017, which vested on May 31, 2019 and (iii) 1,738 shares withheld by the Issuer for payment of withholding tax liability incurred upon the vesting of time-based restricted stock units originally granted on June 1, 2018, which vested on May 31, 2019.</w:t>
      </w:r>
    </w:p>
    <w:p>
      <w:pPr>
        <w:spacing w:after="0" w:line="31" w:lineRule="exact"/>
        <w:rPr>
          <w:rFonts w:ascii="Arial" w:cs="Arial" w:eastAsia="Arial" w:hAnsi="Arial"/>
          <w:sz w:val="14"/>
          <w:szCs w:val="14"/>
          <w:color w:val="008000"/>
        </w:rPr>
      </w:pPr>
    </w:p>
    <w:p>
      <w:pPr>
        <w:ind w:left="40" w:right="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grant of 52,170 restricted units to Ms. Goldstein under the Take-Two Interactive Software, Inc. 2017 Stock Incentive Plan. Includes (i) 10,422 time-based restricted units that vest in three equal annual installments commencing on June 1, 2020 and (ii) 41,748 performance-based restricted units that vest in two equal annual installments commencing on June 1, 2021, subject to the satisfaction of certain performance criteria. The number of restricted units was determined based on the dollar value of the award and the average of the closing prices of the common stock on the ten trading days immediately prior to April 1, 2019.</w:t>
      </w:r>
    </w:p>
    <w:p>
      <w:pPr>
        <w:spacing w:after="0" w:line="3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number of shares of common stock that may be issued upon vesting of the performance-based units assumes the achievement of the maximum performance criteria (200% of target) established by the Issuer's Compensation Committee; however the actual number of such shares may range from zero to 41,748, with the number of shares at target performance equal to 20,874.</w:t>
      </w: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(i) 166,330 shares of Common Stock, (ii) 18,545 unvested time-based restricted stock units and (iii) 90,558 unvested performance-based restricted stock units. Such unvested awards will vest, or fail to vest, in accordance with the terms of the applicable award agreements.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90"/>
              </w:rPr>
              <w:t>/s/ Lainie Goldstein</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06/04/2019</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951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2019-12-23T21:26:57Z</dcterms:created>
  <dcterms:modified xsi:type="dcterms:W3CDTF">2019-12-23T21:26:57Z</dcterms:modified>
</cp:coreProperties>
</file>