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580" w:type="dxa"/>
            <w:vAlign w:val="bottom"/>
            <w:gridSpan w:val="2"/>
            <w:vMerge w:val="restart"/>
          </w:tcPr>
          <w:p>
            <w:pPr>
              <w:spacing w:after="0" w:line="250"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Emerson Daniel P</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5"/>
                <w:szCs w:val="5"/>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gridSpan w:val="2"/>
          </w:tcPr>
          <w:p>
            <w:pPr>
              <w:spacing w:after="0"/>
              <w:rPr>
                <w:sz w:val="4"/>
                <w:szCs w:val="4"/>
                <w:color w:val="auto"/>
              </w:rPr>
            </w:pPr>
          </w:p>
        </w:tc>
        <w:tc>
          <w:tcPr>
            <w:tcW w:w="6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line="155"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5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20" w:type="dxa"/>
            <w:vAlign w:val="bottom"/>
            <w:tcBorders>
              <w:top w:val="single" w:sz="8" w:color="EEEEEE"/>
            </w:tcBorders>
          </w:tcPr>
          <w:p>
            <w:pPr>
              <w:spacing w:after="0"/>
              <w:rPr>
                <w:sz w:val="10"/>
                <w:szCs w:val="10"/>
                <w:color w:val="auto"/>
              </w:rPr>
            </w:pPr>
          </w:p>
        </w:tc>
        <w:tc>
          <w:tcPr>
            <w:tcW w:w="760" w:type="dxa"/>
            <w:vAlign w:val="bottom"/>
            <w:tcBorders>
              <w:top w:val="single" w:sz="8" w:color="EEEEEE"/>
            </w:tcBorders>
          </w:tcPr>
          <w:p>
            <w:pPr>
              <w:spacing w:after="0"/>
              <w:rPr>
                <w:sz w:val="10"/>
                <w:szCs w:val="10"/>
                <w:color w:val="auto"/>
              </w:rPr>
            </w:pPr>
          </w:p>
        </w:tc>
        <w:tc>
          <w:tcPr>
            <w:tcW w:w="660" w:type="dxa"/>
            <w:vAlign w:val="bottom"/>
            <w:tcBorders>
              <w:top w:val="single" w:sz="8" w:color="EEEEEE"/>
            </w:tcBorders>
          </w:tcPr>
          <w:p>
            <w:pPr>
              <w:spacing w:after="0"/>
              <w:rPr>
                <w:sz w:val="10"/>
                <w:szCs w:val="10"/>
                <w:color w:val="auto"/>
              </w:rPr>
            </w:pPr>
          </w:p>
        </w:tc>
        <w:tc>
          <w:tcPr>
            <w:tcW w:w="15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2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420" w:type="dxa"/>
            <w:vAlign w:val="bottom"/>
            <w:gridSpan w:val="2"/>
            <w:vMerge w:val="restart"/>
          </w:tcPr>
          <w:p>
            <w:pPr>
              <w:ind w:left="460"/>
              <w:spacing w:after="0" w:line="104" w:lineRule="exact"/>
              <w:rPr>
                <w:sz w:val="20"/>
                <w:szCs w:val="20"/>
                <w:color w:val="auto"/>
              </w:rPr>
            </w:pPr>
            <w:r>
              <w:rPr>
                <w:rFonts w:ascii="Arial" w:cs="Arial" w:eastAsia="Arial" w:hAnsi="Arial"/>
                <w:sz w:val="12"/>
                <w:szCs w:val="12"/>
                <w:color w:val="auto"/>
              </w:rPr>
              <w:t>(First)</w:t>
            </w:r>
          </w:p>
        </w:tc>
        <w:tc>
          <w:tcPr>
            <w:tcW w:w="1560" w:type="dxa"/>
            <w:vAlign w:val="bottom"/>
            <w:vMerge w:val="restart"/>
          </w:tcPr>
          <w:p>
            <w:pPr>
              <w:ind w:left="30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Exec. VP and General Counsel</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9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05/31/2019</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Arial" w:cs="Arial" w:eastAsia="Arial" w:hAnsi="Arial"/>
                <w:sz w:val="18"/>
                <w:szCs w:val="18"/>
                <w:color w:val="0000FF"/>
              </w:rPr>
              <w:t>110 WEST 44TH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05/31/2019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92"/>
              </w:rPr>
              <w:t>F</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16,969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108.15</w:t>
            </w:r>
          </w:p>
        </w:tc>
        <w:tc>
          <w:tcPr>
            <w:tcW w:w="128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45,039.0452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06/01/2019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18,258</w:t>
            </w:r>
            <w:r>
              <w:rPr>
                <w:rFonts w:ascii="Arial" w:cs="Arial" w:eastAsia="Arial" w:hAnsi="Arial"/>
                <w:sz w:val="22"/>
                <w:szCs w:val="22"/>
                <w:color w:val="008000"/>
                <w:w w:val="87"/>
                <w:vertAlign w:val="superscript"/>
              </w:rPr>
              <w:t>(2)(3)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93"/>
              </w:rPr>
              <w:t>63,297.0452</w:t>
            </w:r>
            <w:r>
              <w:rPr>
                <w:rFonts w:ascii="Arial" w:cs="Arial" w:eastAsia="Arial" w:hAnsi="Arial"/>
                <w:sz w:val="22"/>
                <w:szCs w:val="22"/>
                <w:color w:val="008000"/>
                <w:w w:val="93"/>
                <w:vertAlign w:val="superscript"/>
              </w:rPr>
              <w:t>(4)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represents (i) 10,411 shares withheld by the Issuer for payment of withholding tax liability incurred upon the vesting of time-based and performance-based restricted stock units originally granted on June 1, 2016, which vested on May 31, 2019, (ii) 5,950 shares withheld by the Issuer for payment of withholding tax liability incurred upon the vesting of time-based and performance-based restricted stock units originally granted on June 1, 2017, which vested on May 31, 2019 and (iii) 608 shares withheld by the Issuer for payment of withholding tax liability incurred upon the vesting of time-based restricted stock units originally granted on June 1, 2018, which vested on May 31, 2019.</w:t>
      </w:r>
    </w:p>
    <w:p>
      <w:pPr>
        <w:spacing w:after="0" w:line="31"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grant of 18,258 restricted units to Mr. Emerson under the Take-Two Interactive Software, Inc. 2017 Stock Incentive Plan. Includes (i) 3,648 time-based restricted units that vest in three equal annual installments commencing on June 1, 2020 and (ii) 14,610 performance-based restricted units that vest in two equal annual installments commencing on June 1, 2021, subject to the satisfaction of certain performance criteria. The number of restricted units was determined based on the dollar value of the award and the average of the closing prices of the common stock on the ten trading days immediately prior to April 1, 2019.</w:t>
      </w:r>
    </w:p>
    <w:p>
      <w:pPr>
        <w:spacing w:after="0" w:line="3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number of shares of common stock that may be issued upon vesting of the performance-based units assumes the achievement of the maximum performance criteria (200% of target) established by the Issuer's Compensation Committee; however the actual number of such shares may range from zero to 14,610, with the number of shares at target performance equal to 7,305.</w:t>
      </w:r>
    </w:p>
    <w:p>
      <w:pPr>
        <w:ind w:left="40" w:right="2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(i) 328.0452 shares of Common Stock acquired on April 30, 2019 pursuant to the Take-Two Interactive Software, Inc. Second Amended and Restated 2017 Global Employee Stock Purchase Plan (the "ESPP") for the ESPP purchase period of November 1, 2018 through April 30, 2019 and 17,519 other shares of Common Stock, (ii) 7,528 unvested time-based restricted stock units, and (iii) 37,922 unvested performance-based restricted stock units. Such unvested awards will vest, or fail to vest, in accordance with the terms of the applicable award agreements.</w:t>
      </w:r>
    </w:p>
    <w:p>
      <w:pPr>
        <w:spacing w:after="0" w:line="9"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8"/>
              </w:rPr>
              <w:t>/s/ Daniel Emerson</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06/04/2019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365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2019-12-23T21:29:32Z</dcterms:created>
  <dcterms:modified xsi:type="dcterms:W3CDTF">2019-12-23T21:29:32Z</dcterms:modified>
</cp:coreProperties>
</file>