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November 6, 2020</w:t>
      </w:r>
    </w:p>
    <w:p>
      <w:pPr>
        <w:spacing w:after="0" w:line="31" w:lineRule="exact"/>
        <w:rPr>
          <w:sz w:val="24"/>
          <w:szCs w:val="24"/>
          <w:color w:val="auto"/>
        </w:rPr>
      </w:pPr>
    </w:p>
    <w:p>
      <w:pPr>
        <w:ind w:left="884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8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20"/>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2"/>
          <w:szCs w:val="42"/>
          <w:b w:val="1"/>
          <w:bCs w:val="1"/>
          <w:color w:val="auto"/>
        </w:rPr>
        <w:t>TAKE-TWO INTERACTIVE SOFTWARE, INC.</w:t>
      </w:r>
    </w:p>
    <w:p>
      <w:pPr>
        <w:spacing w:after="0" w:line="7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225" w:right="4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51-0350842</w:t>
      </w:r>
    </w:p>
    <w:p>
      <w:pPr>
        <w:spacing w:after="0" w:line="12" w:lineRule="exact"/>
        <w:rPr>
          <w:sz w:val="24"/>
          <w:szCs w:val="24"/>
          <w:color w:val="auto"/>
        </w:rPr>
      </w:pPr>
    </w:p>
    <w:p>
      <w:pPr>
        <w:sectPr>
          <w:pgSz w:w="11900" w:h="16838" w:orient="portrait"/>
          <w:cols w:equalWidth="0" w:num="2">
            <w:col w:w="7180" w:space="720"/>
            <w:col w:w="3120"/>
          </w:cols>
          <w:pgMar w:left="440" w:top="225" w:right="439" w:bottom="0" w:gutter="0" w:footer="0" w:header="0"/>
          <w:type w:val="continuous"/>
        </w:sectPr>
      </w:pPr>
    </w:p>
    <w:p>
      <w:pPr>
        <w:ind w:left="188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2">
            <w:col w:w="7060" w:space="720"/>
            <w:col w:w="3240"/>
          </w:cols>
          <w:pgMar w:left="440" w:top="225" w:right="439" w:bottom="0" w:gutter="0" w:footer="0" w:header="0"/>
          <w:type w:val="continuous"/>
        </w:sectPr>
      </w:pP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Take-Two Interactive Software, Inc.</w:t>
      </w:r>
    </w:p>
    <w:p>
      <w:pPr>
        <w:spacing w:after="0" w:line="43" w:lineRule="exact"/>
        <w:rPr>
          <w:sz w:val="24"/>
          <w:szCs w:val="24"/>
          <w:color w:val="auto"/>
        </w:rPr>
      </w:pPr>
    </w:p>
    <w:p>
      <w:pPr>
        <w:jc w:val="center"/>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110 West 44</w:t>
        <w:tab/>
        <w:t>Street</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New York, New York 10036</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(646) 536-2842</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ectPr>
          <w:pgSz w:w="11900" w:h="16838" w:orient="portrait"/>
          <w:cols w:equalWidth="0" w:num="1">
            <w:col w:w="11020"/>
          </w:cols>
          <w:pgMar w:left="440" w:top="225" w:right="439" w:bottom="0" w:gutter="0" w:footer="0" w:header="0"/>
          <w:type w:val="continuous"/>
        </w:sectPr>
      </w:pP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TAKE-TWO INTERACTIVE SOFTWARE, INC. 2017 STOCK INCENTIVE PLAN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Daniel Emerson, Esq.</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Vice President and Chief Legal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Take-Two Interactive Software, Inc.</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110 West 44</w:t>
      </w:r>
      <w:r>
        <w:rPr>
          <w:rFonts w:ascii="Times New Roman" w:cs="Times New Roman" w:eastAsia="Times New Roman" w:hAnsi="Times New Roman"/>
          <w:sz w:val="15"/>
          <w:szCs w:val="15"/>
          <w:b w:val="1"/>
          <w:bCs w:val="1"/>
          <w:color w:val="auto"/>
        </w:rPr>
        <w:t>th</w:t>
      </w:r>
      <w:r>
        <w:rPr>
          <w:rFonts w:ascii="Times New Roman" w:cs="Times New Roman" w:eastAsia="Times New Roman" w:hAnsi="Times New Roman"/>
          <w:sz w:val="18"/>
          <w:szCs w:val="18"/>
          <w:b w:val="1"/>
          <w:bCs w:val="1"/>
          <w:color w:val="auto"/>
        </w:rPr>
        <w:t xml:space="preserve"> Street</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10036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(646) 536-3001</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Copy to:</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Adam M. Turteltaub, Esq.</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Willkie Farr &amp; Gallagher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787 Seventh Avenue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10019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728-8000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237490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 (Check one):</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4"/>
          <w:szCs w:val="24"/>
          <w:color w:val="auto"/>
        </w:rPr>
      </w:pPr>
    </w:p>
    <w:p>
      <w:pPr>
        <w:ind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210820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92"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488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540" w:type="dxa"/>
            <w:vAlign w:val="bottom"/>
            <w:tcBorders>
              <w:right w:val="single" w:sz="8" w:color="auto"/>
            </w:tcBorders>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Proposed</w:t>
            </w:r>
          </w:p>
        </w:tc>
        <w:tc>
          <w:tcPr>
            <w:tcW w:w="1540" w:type="dxa"/>
            <w:vAlign w:val="bottom"/>
            <w:tcBorders>
              <w:right w:val="single" w:sz="8" w:color="auto"/>
            </w:tcBorders>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Proposed</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tcPr>
          <w:p>
            <w:pPr>
              <w:spacing w:after="0"/>
              <w:rPr>
                <w:sz w:val="12"/>
                <w:szCs w:val="12"/>
                <w:color w:val="auto"/>
              </w:rPr>
            </w:pP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88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Title of Securities</w:t>
            </w:r>
          </w:p>
        </w:tc>
        <w:tc>
          <w:tcPr>
            <w:tcW w:w="154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to be</w:t>
            </w:r>
          </w:p>
        </w:tc>
        <w:tc>
          <w:tcPr>
            <w:tcW w:w="154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Offering Price</w:t>
            </w:r>
          </w:p>
        </w:tc>
        <w:tc>
          <w:tcPr>
            <w:tcW w:w="154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5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75"/>
        </w:trPr>
        <w:tc>
          <w:tcPr>
            <w:tcW w:w="4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 (1)</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 Share (2)</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 Price (2)</w:t>
            </w:r>
          </w:p>
        </w:tc>
        <w:tc>
          <w:tcPr>
            <w:tcW w:w="152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Registration Fee</w:t>
            </w:r>
          </w:p>
        </w:tc>
        <w:tc>
          <w:tcPr>
            <w:tcW w:w="0" w:type="dxa"/>
            <w:vAlign w:val="bottom"/>
          </w:tcPr>
          <w:p>
            <w:pPr>
              <w:spacing w:after="0"/>
              <w:rPr>
                <w:sz w:val="1"/>
                <w:szCs w:val="1"/>
                <w:color w:val="auto"/>
              </w:rPr>
            </w:pPr>
          </w:p>
        </w:tc>
      </w:tr>
    </w:tbl>
    <w:p>
      <w:pPr>
        <w:sectPr>
          <w:pgSz w:w="11900" w:h="16838" w:orient="portrait"/>
          <w:cols w:equalWidth="0" w:num="1">
            <w:col w:w="11020"/>
          </w:cols>
          <w:pgMar w:left="440" w:top="225" w:right="439" w:bottom="0" w:gutter="0" w:footer="0" w:header="0"/>
          <w:type w:val="continuous"/>
        </w:sectPr>
      </w:pPr>
    </w:p>
    <w:bookmarkStart w:id="1" w:name="page2"/>
    <w:bookmarkEnd w:id="1"/>
    <w:p>
      <w:pPr>
        <w:ind w:left="184" w:hanging="179"/>
        <w:spacing w:after="0" w:line="266" w:lineRule="auto"/>
        <w:rPr>
          <w:sz w:val="20"/>
          <w:szCs w:val="20"/>
          <w:color w:val="auto"/>
        </w:rPr>
      </w:pPr>
      <w:r>
        <w:rPr>
          <w:rFonts w:ascii="Times New Roman" w:cs="Times New Roman" w:eastAsia="Times New Roman" w:hAnsi="Times New Roman"/>
          <w:sz w:val="18"/>
          <w:szCs w:val="18"/>
          <w:color w:val="auto"/>
        </w:rPr>
        <w:t>Common Stock, par value $0.01 per share, reserved for issuance pursuant to the Amended and Restated Take-Two Interactive Software, Inc. 2017 Stock Incentive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-3380105</wp:posOffset>
            </wp:positionH>
            <wp:positionV relativeFrom="paragraph">
              <wp:posOffset>-401955</wp:posOffset>
            </wp:positionV>
            <wp:extent cx="6995160" cy="4457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445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$154.06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$308,110,000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$33,614.80</w:t>
      </w:r>
    </w:p>
    <w:p>
      <w:pPr>
        <w:spacing w:after="0" w:line="74" w:lineRule="exact"/>
        <w:rPr>
          <w:sz w:val="20"/>
          <w:szCs w:val="20"/>
          <w:color w:val="auto"/>
        </w:rPr>
      </w:pPr>
    </w:p>
    <w:p>
      <w:pPr>
        <w:sectPr>
          <w:pgSz w:w="11900" w:h="16838" w:orient="portrait"/>
          <w:cols w:equalWidth="0" w:num="5">
            <w:col w:w="4644" w:space="680"/>
            <w:col w:w="880" w:space="720"/>
            <w:col w:w="620" w:space="720"/>
            <w:col w:w="980" w:space="660"/>
            <w:col w:w="1060"/>
          </w:cols>
          <w:pgMar w:left="436" w:top="148" w:right="499" w:bottom="1440" w:gutter="0" w:footer="0" w:header="0"/>
        </w:sectPr>
      </w:pPr>
    </w:p>
    <w:p>
      <w:pPr>
        <w:ind w:left="424" w:hanging="424"/>
        <w:spacing w:after="0" w:line="253"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maximum number of shares of common stock, par value $0.01 per share (“Common Stock”), of Take-Two Interactive Software, Inc. (the “Company” or “Registrant”) that were added to the number reserved for issuance under the Amended and Restated Take-Two Interactive Software, Inc. 2017 Stock Incentive Plan (the “Plan”) on September 16, 2020 (subject to equitable adjustment in the event of a change in the Company’s capitalization). In addition, pursuant to Rule 416(a) under the Securities Act of 1933, as amended (the “Securities Act”), this Registration Statement also registers an indeterminable number of additional shares of Common Stock as may hereafter be offered or issued under the Plan to prevent dilution resulting from stock splits, stock dividends, or similar transactions effected without the receipt of consideration.</w:t>
      </w:r>
    </w:p>
    <w:p>
      <w:pPr>
        <w:spacing w:after="0" w:line="5" w:lineRule="exact"/>
        <w:rPr>
          <w:rFonts w:ascii="Times New Roman" w:cs="Times New Roman" w:eastAsia="Times New Roman" w:hAnsi="Times New Roman"/>
          <w:sz w:val="18"/>
          <w:szCs w:val="18"/>
          <w:color w:val="auto"/>
        </w:rPr>
      </w:pPr>
    </w:p>
    <w:p>
      <w:pPr>
        <w:ind w:left="424" w:hanging="424"/>
        <w:spacing w:after="0" w:line="260"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purposes of calculating the amount of the registration fee, pursuant to Rules 457(c) and 457(h) of the Securities Act, based on the average of the high and low sales prices of the Common Stock as reported on The NASDAQ Global Select Market on November 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135255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178435</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4"/>
          </w:cols>
          <w:pgMar w:left="436" w:top="148" w:right="49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EXPLANATORY NOTE</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This registration statement on Form S-8 (this “Registration Statement”) is filed by Take-Two Interactive Software, Inc. (the “Company” or “Registrant”) to register an additional 2,000,000 shares of the Registrant’s common stock, par value $0.01 per share (the “Common Stock”), which may be issued under the Amended and Restated Take-Two Interactive Software, Inc. 2017 Stock Incentive Plan (the “Plan”), which Plan was adopted on July 21, 2020 and approved by the Registrant’s stockholders on September 16, 2020.</w:t>
      </w:r>
    </w:p>
    <w:p>
      <w:pPr>
        <w:spacing w:after="0" w:line="18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Pursuant to the Registration Statement on Form S-8 (Registration No. 333-220895) filed by the Registrant on October 10, 2017 (the “First Prior Registration Statement”), the Registrant previously registered an aggregate of 5,200,000 shares of Common Stock under the Plan and pursuant to the Registration Statement on Form S-8 (Registration No. 333-248629) filed by the Registrant September 4, 2020 (together with the First Prior Registration Statement, the “Prior Registration Statements”), the Registrant previously registered an aggregate of 50,743 shares of Common Stock under the Plan (in both cases, as adjusted to reflect all stock splits and stock dividends to date). The additional shares of Common Stock being registered by this Registration Statement are of the same class as those securities registered on the Prior Registration Statements. The contents of the Prior Registration Statements, together with all exhibits filed therewith or incorporated therein by reference to the extent not otherwise amended or superseded by the contents hereof or otherwise, are incorporated herein by reference in accordance with General Instruction E to Form S-8.</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documents containing the information specified in Part I of this Registration Statement have been or will be sent or given to participating employees as specified in Rule 428(b)(1) of the Securities Act of 1933, as amended (the “Securities Act”), in accordance with the rules and regulations of the United States Securities and Exchange Commission (the “Commission”). Such documents are not being filed with the Commission either as part of this Registration Statement or as prospectuses or prospectus supplements pursuant to Rule 424 of the Securities Act. These documents and the documents incorporated by reference into this Registration Statement pursuant to Item 3 of Part II of this Registration Statement, taken together, constitute a prospectus that meets the requirements of Section 10(a) of the Securities Act.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3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Incorporation of Certain Documents by Reference.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filed with the Commission by the Company, are incorporated by reference into this Registration Statement:</w:t>
      </w:r>
    </w:p>
    <w:p>
      <w:pPr>
        <w:spacing w:after="0" w:line="131" w:lineRule="exact"/>
        <w:rPr>
          <w:sz w:val="20"/>
          <w:szCs w:val="20"/>
          <w:color w:val="auto"/>
        </w:rPr>
      </w:pPr>
    </w:p>
    <w:p>
      <w:pPr>
        <w:ind w:left="960" w:right="180" w:hanging="532"/>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Annual Report on </w:t>
      </w:r>
      <w:hyperlink r:id="rId20">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March 31, 2020, filed on May 22, 2020, pursuant to the Securities Exchange Act of 1934, as amended (the “Exchange Act”);</w:t>
      </w:r>
    </w:p>
    <w:p>
      <w:pPr>
        <w:spacing w:after="0" w:line="67" w:lineRule="exact"/>
        <w:rPr>
          <w:rFonts w:ascii="Times New Roman" w:cs="Times New Roman" w:eastAsia="Times New Roman" w:hAnsi="Times New Roman"/>
          <w:sz w:val="18"/>
          <w:szCs w:val="18"/>
          <w:color w:val="auto"/>
        </w:rPr>
      </w:pPr>
    </w:p>
    <w:p>
      <w:pPr>
        <w:ind w:left="960" w:right="280" w:hanging="532"/>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Quarterly Reports on Form 10-Q for the quarter ended June 30, 2020, filed on </w:t>
      </w:r>
      <w:hyperlink r:id="rId21">
        <w:r>
          <w:rPr>
            <w:rFonts w:ascii="Times New Roman" w:cs="Times New Roman" w:eastAsia="Times New Roman" w:hAnsi="Times New Roman"/>
            <w:sz w:val="18"/>
            <w:szCs w:val="18"/>
            <w:u w:val="single" w:color="auto"/>
            <w:color w:val="0000EE"/>
          </w:rPr>
          <w:t>August 4, 2020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for the quarter ended September 30, 2020, filed on </w:t>
      </w:r>
      <w:hyperlink r:id="rId22">
        <w:r>
          <w:rPr>
            <w:rFonts w:ascii="Times New Roman" w:cs="Times New Roman" w:eastAsia="Times New Roman" w:hAnsi="Times New Roman"/>
            <w:sz w:val="18"/>
            <w:szCs w:val="18"/>
            <w:u w:val="single" w:color="auto"/>
            <w:color w:val="0000EE"/>
          </w:rPr>
          <w:t>November 6, 2020</w:t>
        </w:r>
      </w:hyperlink>
      <w:r>
        <w:rPr>
          <w:rFonts w:ascii="Times New Roman" w:cs="Times New Roman" w:eastAsia="Times New Roman" w:hAnsi="Times New Roman"/>
          <w:sz w:val="18"/>
          <w:szCs w:val="18"/>
          <w:color w:val="auto"/>
        </w:rPr>
        <w:t>, pursuant to the Exchange Act;</w:t>
      </w:r>
    </w:p>
    <w:p>
      <w:pPr>
        <w:spacing w:after="0" w:line="67" w:lineRule="exact"/>
        <w:rPr>
          <w:rFonts w:ascii="Times New Roman" w:cs="Times New Roman" w:eastAsia="Times New Roman" w:hAnsi="Times New Roman"/>
          <w:sz w:val="18"/>
          <w:szCs w:val="18"/>
          <w:color w:val="auto"/>
        </w:rPr>
      </w:pPr>
    </w:p>
    <w:p>
      <w:pPr>
        <w:ind w:left="960" w:right="360" w:hanging="532"/>
        <w:spacing w:after="0" w:line="282" w:lineRule="auto"/>
        <w:tabs>
          <w:tab w:leader="none" w:pos="960" w:val="left"/>
        </w:tabs>
        <w:numPr>
          <w:ilvl w:val="0"/>
          <w:numId w:val="2"/>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Company’s Current Reports on Form 8-K, filed on </w:t>
      </w:r>
      <w:hyperlink r:id="rId23">
        <w:r>
          <w:rPr>
            <w:rFonts w:ascii="Times New Roman" w:cs="Times New Roman" w:eastAsia="Times New Roman" w:hAnsi="Times New Roman"/>
            <w:sz w:val="18"/>
            <w:szCs w:val="18"/>
            <w:u w:val="single" w:color="auto"/>
            <w:color w:val="0000EE"/>
          </w:rPr>
          <w:t>July 16, 2020</w:t>
        </w:r>
      </w:hyperlink>
      <w:r>
        <w:rPr>
          <w:rFonts w:ascii="Times New Roman" w:cs="Times New Roman" w:eastAsia="Times New Roman" w:hAnsi="Times New Roman"/>
          <w:sz w:val="18"/>
          <w:szCs w:val="18"/>
          <w:color w:val="auto"/>
        </w:rPr>
        <w:t xml:space="preserve">, </w:t>
      </w:r>
      <w:hyperlink r:id="rId24">
        <w:r>
          <w:rPr>
            <w:rFonts w:ascii="Times New Roman" w:cs="Times New Roman" w:eastAsia="Times New Roman" w:hAnsi="Times New Roman"/>
            <w:sz w:val="18"/>
            <w:szCs w:val="18"/>
            <w:u w:val="single" w:color="auto"/>
            <w:color w:val="0000EE"/>
          </w:rPr>
          <w:t>August 18, 2020</w:t>
        </w:r>
      </w:hyperlink>
      <w:r>
        <w:rPr>
          <w:rFonts w:ascii="Times New Roman" w:cs="Times New Roman" w:eastAsia="Times New Roman" w:hAnsi="Times New Roman"/>
          <w:sz w:val="18"/>
          <w:szCs w:val="18"/>
          <w:color w:val="auto"/>
        </w:rPr>
        <w:t xml:space="preserve">, </w:t>
      </w:r>
      <w:hyperlink r:id="rId25">
        <w:r>
          <w:rPr>
            <w:rFonts w:ascii="Times New Roman" w:cs="Times New Roman" w:eastAsia="Times New Roman" w:hAnsi="Times New Roman"/>
            <w:sz w:val="18"/>
            <w:szCs w:val="18"/>
            <w:u w:val="single" w:color="auto"/>
            <w:color w:val="0000EE"/>
          </w:rPr>
          <w:t>September 8, 2020</w:t>
        </w:r>
      </w:hyperlink>
      <w:r>
        <w:rPr>
          <w:rFonts w:ascii="Times New Roman" w:cs="Times New Roman" w:eastAsia="Times New Roman" w:hAnsi="Times New Roman"/>
          <w:sz w:val="18"/>
          <w:szCs w:val="18"/>
          <w:color w:val="auto"/>
        </w:rPr>
        <w:t xml:space="preserve">, </w:t>
      </w:r>
      <w:hyperlink r:id="rId26">
        <w:r>
          <w:rPr>
            <w:rFonts w:ascii="Times New Roman" w:cs="Times New Roman" w:eastAsia="Times New Roman" w:hAnsi="Times New Roman"/>
            <w:sz w:val="18"/>
            <w:szCs w:val="18"/>
            <w:u w:val="single" w:color="auto"/>
            <w:color w:val="0000EE"/>
          </w:rPr>
          <w:t>September 18, 2020</w:t>
        </w:r>
      </w:hyperlink>
      <w:r>
        <w:rPr>
          <w:rFonts w:ascii="Times New Roman" w:cs="Times New Roman" w:eastAsia="Times New Roman" w:hAnsi="Times New Roman"/>
          <w:sz w:val="18"/>
          <w:szCs w:val="18"/>
          <w:color w:val="auto"/>
        </w:rPr>
        <w:t xml:space="preserve">, and </w:t>
      </w:r>
      <w:hyperlink r:id="rId27">
        <w:r>
          <w:rPr>
            <w:rFonts w:ascii="Times New Roman" w:cs="Times New Roman" w:eastAsia="Times New Roman" w:hAnsi="Times New Roman"/>
            <w:sz w:val="18"/>
            <w:szCs w:val="18"/>
            <w:u w:val="single" w:color="auto"/>
            <w:color w:val="0000EE"/>
          </w:rPr>
          <w:t>October 6, 2020</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pursuant to the Exchange Act; and</w:t>
      </w:r>
    </w:p>
    <w:p>
      <w:pPr>
        <w:spacing w:after="0" w:line="67" w:lineRule="exact"/>
        <w:rPr>
          <w:rFonts w:ascii="Times New Roman" w:cs="Times New Roman" w:eastAsia="Times New Roman" w:hAnsi="Times New Roman"/>
          <w:sz w:val="18"/>
          <w:szCs w:val="18"/>
          <w:color w:val="0000EE"/>
        </w:rPr>
      </w:pPr>
    </w:p>
    <w:p>
      <w:pPr>
        <w:jc w:val="both"/>
        <w:ind w:left="960" w:right="400" w:hanging="532"/>
        <w:spacing w:after="0" w:line="26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Company’s Common Stock, which is contained in the Company’s Registration Statement on </w:t>
      </w:r>
      <w:hyperlink r:id="rId28">
        <w:r>
          <w:rPr>
            <w:rFonts w:ascii="Times New Roman" w:cs="Times New Roman" w:eastAsia="Times New Roman" w:hAnsi="Times New Roman"/>
            <w:sz w:val="18"/>
            <w:szCs w:val="18"/>
            <w:u w:val="single" w:color="auto"/>
            <w:color w:val="0000EE"/>
          </w:rPr>
          <w:t>Form 8-A</w:t>
        </w:r>
      </w:hyperlink>
      <w:r>
        <w:rPr>
          <w:rFonts w:ascii="Times New Roman" w:cs="Times New Roman" w:eastAsia="Times New Roman" w:hAnsi="Times New Roman"/>
          <w:sz w:val="18"/>
          <w:szCs w:val="18"/>
          <w:color w:val="auto"/>
        </w:rPr>
        <w:t xml:space="preserve">, filed on March 26, 2008, as updated by </w:t>
      </w:r>
      <w:hyperlink r:id="rId29">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Company’s Annual Report on Form 10-K for the fiscal year ended March 31, 2020, including any subsequent amendment or any report filed with the Commission for the purpose of updating such description.</w:t>
      </w:r>
    </w:p>
    <w:p>
      <w:pPr>
        <w:sectPr>
          <w:pgSz w:w="11900" w:h="16838" w:orient="portrait"/>
          <w:cols w:equalWidth="0" w:num="1">
            <w:col w:w="11000"/>
          </w:cols>
          <w:pgMar w:left="440" w:top="266" w:right="459" w:bottom="1440" w:gutter="0" w:footer="0" w:header="0"/>
        </w:sectPr>
      </w:pPr>
    </w:p>
    <w:bookmarkStart w:id="3" w:name="page4"/>
    <w:bookmarkEnd w:id="3"/>
    <w:p>
      <w:pPr>
        <w:ind w:right="10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addition, all documents filed by the Company with the Commission pursuant to Sections 13(a), 13(c), 14, and 15(d) of the Exchange Act subsequent to the date of this Registration Statement and prior to the filing of a post-effective amendment to this Registration Statement which indicates that all of the securities offered hereby have been sold or which deregisters all securities then remaining unsold shall be deemed to be incorporated by reference into this Registration Statement and to be a part hereof from the date of the filing of such documents with the Commission; provided, however, that documents or portions thereof which are “furnished” and not “filed” in accordance with the rules of the Commission shall not be deemed incorporated by reference into this Registration Statement unless the Registrant expressly provides to the contrary that such document is incorporated by reference into this Registration Statement.</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to constitute a part of this Registration Statement except as so modified or superseded.</w:t>
      </w:r>
    </w:p>
    <w:p>
      <w:pPr>
        <w:spacing w:after="0" w:line="32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to this Registration Statement are listed in the Index to Exhibits and are incorporated herein by reference.</w:t>
      </w:r>
    </w:p>
    <w:p>
      <w:pPr>
        <w:sectPr>
          <w:pgSz w:w="11900" w:h="16838" w:orient="portrait"/>
          <w:cols w:equalWidth="0" w:num="1">
            <w:col w:w="10980"/>
          </w:cols>
          <w:pgMar w:left="440" w:top="270" w:right="479" w:bottom="1440" w:gutter="0" w:footer="0" w:header="0"/>
        </w:sectPr>
      </w:pPr>
    </w:p>
    <w:bookmarkStart w:id="4" w:name="page5"/>
    <w:bookmarkEnd w:id="4"/>
    <w:p>
      <w:pPr>
        <w:ind w:left="46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INDEX TO EXHIBITS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0"/>
        <w:spacing w:after="0"/>
        <w:tabs>
          <w:tab w:leader="none" w:pos="39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2914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77" w:lineRule="exact"/>
        <w:rPr>
          <w:sz w:val="20"/>
          <w:szCs w:val="20"/>
          <w:color w:val="auto"/>
        </w:rPr>
      </w:pPr>
    </w:p>
    <w:p>
      <w:pPr>
        <w:ind w:left="80"/>
        <w:spacing w:after="0"/>
        <w:tabs>
          <w:tab w:leader="none" w:pos="8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5.1</w:t>
      </w:r>
      <w:r>
        <w:rPr>
          <w:sz w:val="20"/>
          <w:szCs w:val="20"/>
          <w:color w:val="auto"/>
        </w:rPr>
        <w:tab/>
      </w:r>
      <w:hyperlink w:anchor="page7">
        <w:r>
          <w:rPr>
            <w:rFonts w:ascii="Times New Roman" w:cs="Times New Roman" w:eastAsia="Times New Roman" w:hAnsi="Times New Roman"/>
            <w:sz w:val="17"/>
            <w:szCs w:val="17"/>
            <w:u w:val="single" w:color="auto"/>
            <w:color w:val="0000EE"/>
          </w:rPr>
          <w:t>Opinion of Willkie Farr &amp; Gallagher LLP</w:t>
        </w:r>
      </w:hyperlink>
    </w:p>
    <w:p>
      <w:pPr>
        <w:spacing w:after="0" w:line="117" w:lineRule="exact"/>
        <w:rPr>
          <w:sz w:val="20"/>
          <w:szCs w:val="20"/>
          <w:color w:val="auto"/>
        </w:rPr>
      </w:pPr>
    </w:p>
    <w:p>
      <w:pPr>
        <w:spacing w:after="0"/>
        <w:tabs>
          <w:tab w:leader="none" w:pos="8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23.1</w:t>
      </w:r>
      <w:r>
        <w:rPr>
          <w:sz w:val="20"/>
          <w:szCs w:val="20"/>
          <w:color w:val="auto"/>
        </w:rPr>
        <w:tab/>
      </w:r>
      <w:hyperlink w:anchor="page7">
        <w:r>
          <w:rPr>
            <w:rFonts w:ascii="Times New Roman" w:cs="Times New Roman" w:eastAsia="Times New Roman" w:hAnsi="Times New Roman"/>
            <w:sz w:val="17"/>
            <w:szCs w:val="17"/>
            <w:u w:val="single" w:color="auto"/>
            <w:color w:val="0000EE"/>
          </w:rPr>
          <w:t>Consent of Willkie Farr &amp; Gallagher LLP (included in Exhibit 5.1 hereto)</w:t>
        </w:r>
      </w:hyperlink>
    </w:p>
    <w:p>
      <w:pPr>
        <w:spacing w:after="0" w:line="117" w:lineRule="exact"/>
        <w:rPr>
          <w:sz w:val="20"/>
          <w:szCs w:val="20"/>
          <w:color w:val="auto"/>
        </w:rPr>
      </w:pPr>
    </w:p>
    <w:p>
      <w:pPr>
        <w:spacing w:after="0"/>
        <w:tabs>
          <w:tab w:leader="none" w:pos="8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23.2</w:t>
      </w:r>
      <w:r>
        <w:rPr>
          <w:sz w:val="20"/>
          <w:szCs w:val="20"/>
          <w:color w:val="auto"/>
        </w:rPr>
        <w:tab/>
      </w:r>
      <w:hyperlink w:anchor="page8">
        <w:r>
          <w:rPr>
            <w:rFonts w:ascii="Times New Roman" w:cs="Times New Roman" w:eastAsia="Times New Roman" w:hAnsi="Times New Roman"/>
            <w:sz w:val="17"/>
            <w:szCs w:val="17"/>
            <w:u w:val="single" w:color="auto"/>
            <w:color w:val="0000EE"/>
          </w:rPr>
          <w:t>Consent of Ernst &amp; Young LLP., independent registered public accounting firm</w:t>
        </w:r>
      </w:hyperlink>
    </w:p>
    <w:p>
      <w:pPr>
        <w:spacing w:after="0" w:line="117" w:lineRule="exact"/>
        <w:rPr>
          <w:sz w:val="20"/>
          <w:szCs w:val="20"/>
          <w:color w:val="auto"/>
        </w:rPr>
      </w:pPr>
    </w:p>
    <w:p>
      <w:pPr>
        <w:spacing w:after="0"/>
        <w:tabs>
          <w:tab w:leader="none" w:pos="8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24.1</w:t>
      </w:r>
      <w:r>
        <w:rPr>
          <w:sz w:val="20"/>
          <w:szCs w:val="20"/>
          <w:color w:val="auto"/>
        </w:rPr>
        <w:tab/>
      </w:r>
      <w:hyperlink w:anchor="page6">
        <w:r>
          <w:rPr>
            <w:rFonts w:ascii="Times New Roman" w:cs="Times New Roman" w:eastAsia="Times New Roman" w:hAnsi="Times New Roman"/>
            <w:sz w:val="18"/>
            <w:szCs w:val="18"/>
            <w:u w:val="single" w:color="auto"/>
            <w:color w:val="0000EE"/>
          </w:rPr>
          <w:t>Power of Attorney (included on the signature page of this Registration Statement)</w:t>
        </w:r>
      </w:hyperlink>
    </w:p>
    <w:p>
      <w:pPr>
        <w:spacing w:after="0" w:line="117" w:lineRule="exact"/>
        <w:rPr>
          <w:sz w:val="20"/>
          <w:szCs w:val="20"/>
          <w:color w:val="auto"/>
        </w:rPr>
      </w:pPr>
    </w:p>
    <w:p>
      <w:pPr>
        <w:spacing w:after="0"/>
        <w:tabs>
          <w:tab w:leader="none" w:pos="8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r:id="rId33">
        <w:r>
          <w:rPr>
            <w:rFonts w:ascii="Times New Roman" w:cs="Times New Roman" w:eastAsia="Times New Roman" w:hAnsi="Times New Roman"/>
            <w:sz w:val="17"/>
            <w:szCs w:val="17"/>
            <w:u w:val="single" w:color="auto"/>
            <w:color w:val="0000EE"/>
          </w:rPr>
          <w:t>Amended and Restated Take-Two Interactive Software, Inc. 2017 Stock Incentive Plan</w:t>
        </w:r>
      </w:hyperlink>
    </w:p>
    <w:p>
      <w:pPr>
        <w:spacing w:after="0" w:line="333" w:lineRule="exact"/>
        <w:rPr>
          <w:sz w:val="20"/>
          <w:szCs w:val="20"/>
          <w:color w:val="auto"/>
        </w:rPr>
      </w:pPr>
    </w:p>
    <w:p>
      <w:pPr>
        <w:ind w:left="840" w:hanging="849"/>
        <w:spacing w:after="0" w:line="282" w:lineRule="auto"/>
        <w:tabs>
          <w:tab w:leader="none" w:pos="8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99.2</w:t>
      </w:r>
      <w:r>
        <w:rPr>
          <w:sz w:val="20"/>
          <w:szCs w:val="20"/>
          <w:color w:val="auto"/>
        </w:rPr>
        <w:tab/>
      </w:r>
      <w:hyperlink r:id="rId34">
        <w:r>
          <w:rPr>
            <w:rFonts w:ascii="Times New Roman" w:cs="Times New Roman" w:eastAsia="Times New Roman" w:hAnsi="Times New Roman"/>
            <w:sz w:val="18"/>
            <w:szCs w:val="18"/>
            <w:u w:val="single" w:color="auto"/>
            <w:color w:val="0000EE"/>
          </w:rPr>
          <w:t>Amendment No. 1 to the Amended and Restated Take-Two Interactive Software, Inc. 2017</w:t>
        </w:r>
      </w:hyperlink>
      <w:r>
        <w:rPr>
          <w:rFonts w:ascii="Times New Roman" w:cs="Times New Roman" w:eastAsia="Times New Roman" w:hAnsi="Times New Roman"/>
          <w:sz w:val="18"/>
          <w:szCs w:val="18"/>
          <w:u w:val="single" w:color="auto"/>
          <w:color w:val="0000EE"/>
        </w:rPr>
        <w:t xml:space="preserve"> </w:t>
      </w:r>
      <w:hyperlink r:id="rId34">
        <w:r>
          <w:rPr>
            <w:rFonts w:ascii="Times New Roman" w:cs="Times New Roman" w:eastAsia="Times New Roman" w:hAnsi="Times New Roman"/>
            <w:sz w:val="18"/>
            <w:szCs w:val="18"/>
            <w:u w:val="single" w:color="auto"/>
            <w:color w:val="0000EE"/>
          </w:rPr>
          <w:t>Stock Incentive Plan</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80" w:type="dxa"/>
            <w:vAlign w:val="bottom"/>
          </w:tcPr>
          <w:p>
            <w:pPr>
              <w:spacing w:after="0"/>
              <w:rPr>
                <w:sz w:val="15"/>
                <w:szCs w:val="15"/>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17"/>
        </w:trPr>
        <w:tc>
          <w:tcPr>
            <w:tcW w:w="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200" w:type="dxa"/>
            <w:vAlign w:val="bottom"/>
          </w:tcPr>
          <w:p>
            <w:pPr>
              <w:spacing w:after="0"/>
              <w:rPr>
                <w:sz w:val="10"/>
                <w:szCs w:val="10"/>
                <w:color w:val="auto"/>
              </w:rPr>
            </w:pPr>
          </w:p>
        </w:tc>
        <w:tc>
          <w:tcPr>
            <w:tcW w:w="4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Annex</w:t>
            </w:r>
          </w:p>
        </w:tc>
        <w:tc>
          <w:tcPr>
            <w:tcW w:w="360" w:type="dxa"/>
            <w:vAlign w:val="bottom"/>
          </w:tcPr>
          <w:p>
            <w:pPr>
              <w:spacing w:after="0"/>
              <w:rPr>
                <w:sz w:val="10"/>
                <w:szCs w:val="10"/>
                <w:color w:val="auto"/>
              </w:rPr>
            </w:pPr>
          </w:p>
        </w:tc>
        <w:tc>
          <w:tcPr>
            <w:tcW w:w="9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8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318"/>
        </w:trPr>
        <w:tc>
          <w:tcPr>
            <w:tcW w:w="3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324"/>
        </w:trPr>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324"/>
        </w:trPr>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324"/>
        </w:trPr>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306"/>
        </w:trPr>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DEF</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14A</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w:t>
            </w: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July 24, 2020</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September 4,</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99"/>
              </w:rPr>
              <w:t>2020</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2">
            <w:col w:w="7440" w:space="600"/>
            <w:col w:w="2980"/>
          </w:cols>
          <w:pgMar w:left="440" w:top="266" w:right="43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SIGNATURES</w:t>
      </w:r>
    </w:p>
    <w:p>
      <w:pPr>
        <w:spacing w:after="0" w:line="22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the requirements for filing on Form S-8 and has duly caused this Registration Statement to be signed on its behalf by the undersigned, thereunto duly authorized, in the City of New York, State of New York, on the 5th day of November, 2020.</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Take-Two Interactive Software,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Karl Slatoff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Karl Slatoff</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President</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 AND POWER OF ATTORNEY</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the undersigned officers and directors of Take-Two Interactive Software, Inc., hereby severally constitute and appoint Karl Slatoff, Daniel Emerson, and Matthew Breitman or any of them individually, our true and lawful attorneys-in-fact with full power of substitution, to sign for us and in our names in the capacities indicated below the Registration Statement and any and all pre-effective and post-effective amendments to the Registration Statement and generally to do all such things in our name and behalf in our capacities as officers and directors to enable the Registrant to comply with the provisions of the Securities Act, and all requirements of the Commission, hereby ratifying and confirming our signatures as they may be signed by our said attorneys-in-fact to said Registration Statement and any and all amendments thereto.</w:t>
      </w:r>
    </w:p>
    <w:p>
      <w:pPr>
        <w:spacing w:after="0" w:line="18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00" w:type="dxa"/>
            <w:vAlign w:val="bottom"/>
            <w:gridSpan w:val="2"/>
          </w:tcPr>
          <w:p>
            <w:pPr>
              <w:ind w:left="1800"/>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1780" w:type="dxa"/>
            <w:vAlign w:val="bottom"/>
          </w:tcPr>
          <w:p>
            <w:pPr>
              <w:spacing w:after="0"/>
              <w:rPr>
                <w:sz w:val="15"/>
                <w:szCs w:val="15"/>
                <w:color w:val="auto"/>
              </w:rPr>
            </w:pPr>
          </w:p>
        </w:tc>
        <w:tc>
          <w:tcPr>
            <w:tcW w:w="4320" w:type="dxa"/>
            <w:vAlign w:val="bottom"/>
            <w:gridSpan w:val="3"/>
          </w:tcPr>
          <w:p>
            <w:pPr>
              <w:ind w:left="24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480" w:type="dxa"/>
            <w:vAlign w:val="bottom"/>
          </w:tcPr>
          <w:p>
            <w:pPr>
              <w:spacing w:after="0"/>
              <w:rPr>
                <w:sz w:val="15"/>
                <w:szCs w:val="15"/>
                <w:color w:val="auto"/>
              </w:rPr>
            </w:pPr>
          </w:p>
        </w:tc>
        <w:tc>
          <w:tcPr>
            <w:tcW w:w="8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0"/>
        </w:trPr>
        <w:tc>
          <w:tcPr>
            <w:tcW w:w="18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25"/>
        </w:trPr>
        <w:tc>
          <w:tcPr>
            <w:tcW w:w="1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Strauss Zelnick</w:t>
            </w:r>
          </w:p>
        </w:tc>
        <w:tc>
          <w:tcPr>
            <w:tcW w:w="6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4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Chairman and Chief Executive Officer</w:t>
            </w:r>
          </w:p>
        </w:tc>
        <w:tc>
          <w:tcPr>
            <w:tcW w:w="2300" w:type="dxa"/>
            <w:vAlign w:val="bottom"/>
            <w:gridSpan w:val="3"/>
          </w:tcPr>
          <w:p>
            <w:pPr>
              <w:jc w:val="center"/>
              <w:ind w:left="870"/>
              <w:spacing w:after="0"/>
              <w:rPr>
                <w:sz w:val="20"/>
                <w:szCs w:val="20"/>
                <w:color w:val="auto"/>
              </w:rPr>
            </w:pPr>
            <w:r>
              <w:rPr>
                <w:rFonts w:ascii="Times New Roman" w:cs="Times New Roman" w:eastAsia="Times New Roman" w:hAnsi="Times New Roman"/>
                <w:sz w:val="18"/>
                <w:szCs w:val="18"/>
                <w:color w:val="auto"/>
                <w:w w:val="99"/>
              </w:rPr>
              <w:t>November 5, 2020</w:t>
            </w:r>
          </w:p>
        </w:tc>
      </w:tr>
      <w:tr>
        <w:trPr>
          <w:trHeight w:val="228"/>
        </w:trPr>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Strauss Zelnick</w:t>
            </w:r>
          </w:p>
        </w:tc>
        <w:tc>
          <w:tcPr>
            <w:tcW w:w="1780" w:type="dxa"/>
            <w:vAlign w:val="bottom"/>
          </w:tcPr>
          <w:p>
            <w:pPr>
              <w:spacing w:after="0"/>
              <w:rPr>
                <w:sz w:val="19"/>
                <w:szCs w:val="19"/>
                <w:color w:val="auto"/>
              </w:rPr>
            </w:pPr>
          </w:p>
        </w:tc>
        <w:tc>
          <w:tcPr>
            <w:tcW w:w="4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2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Lainie Goldstein</w:t>
            </w:r>
          </w:p>
        </w:tc>
        <w:tc>
          <w:tcPr>
            <w:tcW w:w="1780" w:type="dxa"/>
            <w:vAlign w:val="bottom"/>
            <w:tcBorders>
              <w:bottom w:val="single" w:sz="8" w:color="auto"/>
            </w:tcBorders>
          </w:tcPr>
          <w:p>
            <w:pPr>
              <w:spacing w:after="0"/>
              <w:rPr>
                <w:sz w:val="24"/>
                <w:szCs w:val="24"/>
                <w:color w:val="auto"/>
              </w:rPr>
            </w:pPr>
          </w:p>
        </w:tc>
        <w:tc>
          <w:tcPr>
            <w:tcW w:w="4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c>
          <w:tcPr>
            <w:tcW w:w="2300" w:type="dxa"/>
            <w:vAlign w:val="bottom"/>
            <w:gridSpan w:val="3"/>
          </w:tcPr>
          <w:p>
            <w:pPr>
              <w:jc w:val="center"/>
              <w:ind w:left="870"/>
              <w:spacing w:after="0"/>
              <w:rPr>
                <w:sz w:val="20"/>
                <w:szCs w:val="20"/>
                <w:color w:val="auto"/>
              </w:rPr>
            </w:pPr>
            <w:r>
              <w:rPr>
                <w:rFonts w:ascii="Times New Roman" w:cs="Times New Roman" w:eastAsia="Times New Roman" w:hAnsi="Times New Roman"/>
                <w:sz w:val="18"/>
                <w:szCs w:val="18"/>
                <w:color w:val="auto"/>
                <w:w w:val="99"/>
              </w:rPr>
              <w:t>November 5, 2020</w:t>
            </w:r>
          </w:p>
        </w:tc>
      </w:tr>
      <w:tr>
        <w:trPr>
          <w:trHeight w:val="228"/>
        </w:trPr>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Lainie Goldstein</w:t>
            </w:r>
          </w:p>
        </w:tc>
        <w:tc>
          <w:tcPr>
            <w:tcW w:w="1780" w:type="dxa"/>
            <w:vAlign w:val="bottom"/>
          </w:tcPr>
          <w:p>
            <w:pPr>
              <w:spacing w:after="0"/>
              <w:rPr>
                <w:sz w:val="19"/>
                <w:szCs w:val="19"/>
                <w:color w:val="auto"/>
              </w:rPr>
            </w:pPr>
          </w:p>
        </w:tc>
        <w:tc>
          <w:tcPr>
            <w:tcW w:w="4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2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Michael Dornemann</w:t>
            </w:r>
          </w:p>
        </w:tc>
        <w:tc>
          <w:tcPr>
            <w:tcW w:w="1780" w:type="dxa"/>
            <w:vAlign w:val="bottom"/>
            <w:tcBorders>
              <w:bottom w:val="single" w:sz="8" w:color="auto"/>
            </w:tcBorders>
          </w:tcPr>
          <w:p>
            <w:pPr>
              <w:spacing w:after="0"/>
              <w:rPr>
                <w:sz w:val="24"/>
                <w:szCs w:val="24"/>
                <w:color w:val="auto"/>
              </w:rPr>
            </w:pPr>
          </w:p>
        </w:tc>
        <w:tc>
          <w:tcPr>
            <w:tcW w:w="4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Lead Independent Director</w:t>
            </w:r>
          </w:p>
        </w:tc>
        <w:tc>
          <w:tcPr>
            <w:tcW w:w="2300" w:type="dxa"/>
            <w:vAlign w:val="bottom"/>
            <w:gridSpan w:val="3"/>
          </w:tcPr>
          <w:p>
            <w:pPr>
              <w:jc w:val="center"/>
              <w:ind w:left="870"/>
              <w:spacing w:after="0"/>
              <w:rPr>
                <w:sz w:val="20"/>
                <w:szCs w:val="20"/>
                <w:color w:val="auto"/>
              </w:rPr>
            </w:pPr>
            <w:r>
              <w:rPr>
                <w:rFonts w:ascii="Times New Roman" w:cs="Times New Roman" w:eastAsia="Times New Roman" w:hAnsi="Times New Roman"/>
                <w:sz w:val="18"/>
                <w:szCs w:val="18"/>
                <w:color w:val="auto"/>
                <w:w w:val="99"/>
              </w:rPr>
              <w:t>November 5, 2020</w:t>
            </w:r>
          </w:p>
        </w:tc>
      </w:tr>
      <w:tr>
        <w:trPr>
          <w:trHeight w:val="228"/>
        </w:trPr>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Dornemann</w:t>
            </w:r>
          </w:p>
        </w:tc>
        <w:tc>
          <w:tcPr>
            <w:tcW w:w="17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2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Roland Hernandez</w:t>
            </w:r>
          </w:p>
        </w:tc>
        <w:tc>
          <w:tcPr>
            <w:tcW w:w="1780" w:type="dxa"/>
            <w:vAlign w:val="bottom"/>
            <w:tcBorders>
              <w:bottom w:val="single" w:sz="8" w:color="auto"/>
            </w:tcBorders>
          </w:tcPr>
          <w:p>
            <w:pPr>
              <w:spacing w:after="0"/>
              <w:rPr>
                <w:sz w:val="24"/>
                <w:szCs w:val="24"/>
                <w:color w:val="auto"/>
              </w:rPr>
            </w:pPr>
          </w:p>
        </w:tc>
        <w:tc>
          <w:tcPr>
            <w:tcW w:w="4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300" w:type="dxa"/>
            <w:vAlign w:val="bottom"/>
            <w:gridSpan w:val="3"/>
          </w:tcPr>
          <w:p>
            <w:pPr>
              <w:jc w:val="center"/>
              <w:ind w:left="870"/>
              <w:spacing w:after="0"/>
              <w:rPr>
                <w:sz w:val="20"/>
                <w:szCs w:val="20"/>
                <w:color w:val="auto"/>
              </w:rPr>
            </w:pPr>
            <w:r>
              <w:rPr>
                <w:rFonts w:ascii="Times New Roman" w:cs="Times New Roman" w:eastAsia="Times New Roman" w:hAnsi="Times New Roman"/>
                <w:sz w:val="18"/>
                <w:szCs w:val="18"/>
                <w:color w:val="auto"/>
                <w:w w:val="99"/>
              </w:rPr>
              <w:t>November 5, 2020</w:t>
            </w:r>
          </w:p>
        </w:tc>
      </w:tr>
      <w:tr>
        <w:trPr>
          <w:trHeight w:val="228"/>
        </w:trPr>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Roland Hernandez</w:t>
            </w:r>
          </w:p>
        </w:tc>
        <w:tc>
          <w:tcPr>
            <w:tcW w:w="17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2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 Moses</w:t>
            </w:r>
          </w:p>
        </w:tc>
        <w:tc>
          <w:tcPr>
            <w:tcW w:w="1780" w:type="dxa"/>
            <w:vAlign w:val="bottom"/>
            <w:tcBorders>
              <w:bottom w:val="single" w:sz="8" w:color="auto"/>
            </w:tcBorders>
          </w:tcPr>
          <w:p>
            <w:pPr>
              <w:spacing w:after="0"/>
              <w:rPr>
                <w:sz w:val="24"/>
                <w:szCs w:val="24"/>
                <w:color w:val="auto"/>
              </w:rPr>
            </w:pPr>
          </w:p>
        </w:tc>
        <w:tc>
          <w:tcPr>
            <w:tcW w:w="4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300" w:type="dxa"/>
            <w:vAlign w:val="bottom"/>
            <w:gridSpan w:val="3"/>
          </w:tcPr>
          <w:p>
            <w:pPr>
              <w:jc w:val="center"/>
              <w:ind w:left="870"/>
              <w:spacing w:after="0"/>
              <w:rPr>
                <w:sz w:val="20"/>
                <w:szCs w:val="20"/>
                <w:color w:val="auto"/>
              </w:rPr>
            </w:pPr>
            <w:r>
              <w:rPr>
                <w:rFonts w:ascii="Times New Roman" w:cs="Times New Roman" w:eastAsia="Times New Roman" w:hAnsi="Times New Roman"/>
                <w:sz w:val="18"/>
                <w:szCs w:val="18"/>
                <w:color w:val="auto"/>
                <w:w w:val="99"/>
              </w:rPr>
              <w:t>November 5, 2020</w:t>
            </w:r>
          </w:p>
        </w:tc>
      </w:tr>
      <w:tr>
        <w:trPr>
          <w:trHeight w:val="228"/>
        </w:trPr>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 Moses</w:t>
            </w:r>
          </w:p>
        </w:tc>
        <w:tc>
          <w:tcPr>
            <w:tcW w:w="17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2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Michael Sheresky</w:t>
            </w:r>
          </w:p>
        </w:tc>
        <w:tc>
          <w:tcPr>
            <w:tcW w:w="1780" w:type="dxa"/>
            <w:vAlign w:val="bottom"/>
            <w:tcBorders>
              <w:bottom w:val="single" w:sz="8" w:color="auto"/>
            </w:tcBorders>
          </w:tcPr>
          <w:p>
            <w:pPr>
              <w:spacing w:after="0"/>
              <w:rPr>
                <w:sz w:val="24"/>
                <w:szCs w:val="24"/>
                <w:color w:val="auto"/>
              </w:rPr>
            </w:pPr>
          </w:p>
        </w:tc>
        <w:tc>
          <w:tcPr>
            <w:tcW w:w="4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300" w:type="dxa"/>
            <w:vAlign w:val="bottom"/>
            <w:gridSpan w:val="3"/>
          </w:tcPr>
          <w:p>
            <w:pPr>
              <w:jc w:val="center"/>
              <w:ind w:left="870"/>
              <w:spacing w:after="0"/>
              <w:rPr>
                <w:sz w:val="20"/>
                <w:szCs w:val="20"/>
                <w:color w:val="auto"/>
              </w:rPr>
            </w:pPr>
            <w:r>
              <w:rPr>
                <w:rFonts w:ascii="Times New Roman" w:cs="Times New Roman" w:eastAsia="Times New Roman" w:hAnsi="Times New Roman"/>
                <w:sz w:val="18"/>
                <w:szCs w:val="18"/>
                <w:color w:val="auto"/>
                <w:w w:val="99"/>
              </w:rPr>
              <w:t>November 5, 2020</w:t>
            </w:r>
          </w:p>
        </w:tc>
      </w:tr>
      <w:tr>
        <w:trPr>
          <w:trHeight w:val="228"/>
        </w:trPr>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Sheresky</w:t>
            </w:r>
          </w:p>
        </w:tc>
        <w:tc>
          <w:tcPr>
            <w:tcW w:w="17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2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LaVerne Srinivasan</w:t>
            </w:r>
          </w:p>
        </w:tc>
        <w:tc>
          <w:tcPr>
            <w:tcW w:w="1780" w:type="dxa"/>
            <w:vAlign w:val="bottom"/>
            <w:tcBorders>
              <w:bottom w:val="single" w:sz="8" w:color="auto"/>
            </w:tcBorders>
          </w:tcPr>
          <w:p>
            <w:pPr>
              <w:spacing w:after="0"/>
              <w:rPr>
                <w:sz w:val="24"/>
                <w:szCs w:val="24"/>
                <w:color w:val="auto"/>
              </w:rPr>
            </w:pPr>
          </w:p>
        </w:tc>
        <w:tc>
          <w:tcPr>
            <w:tcW w:w="4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300" w:type="dxa"/>
            <w:vAlign w:val="bottom"/>
            <w:gridSpan w:val="3"/>
          </w:tcPr>
          <w:p>
            <w:pPr>
              <w:jc w:val="center"/>
              <w:ind w:left="870"/>
              <w:spacing w:after="0"/>
              <w:rPr>
                <w:sz w:val="20"/>
                <w:szCs w:val="20"/>
                <w:color w:val="auto"/>
              </w:rPr>
            </w:pPr>
            <w:r>
              <w:rPr>
                <w:rFonts w:ascii="Times New Roman" w:cs="Times New Roman" w:eastAsia="Times New Roman" w:hAnsi="Times New Roman"/>
                <w:sz w:val="18"/>
                <w:szCs w:val="18"/>
                <w:color w:val="auto"/>
                <w:w w:val="99"/>
              </w:rPr>
              <w:t>November 5, 2020</w:t>
            </w:r>
          </w:p>
        </w:tc>
      </w:tr>
      <w:tr>
        <w:trPr>
          <w:trHeight w:val="228"/>
        </w:trPr>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LaVerne Srinivasan</w:t>
            </w:r>
          </w:p>
        </w:tc>
        <w:tc>
          <w:tcPr>
            <w:tcW w:w="17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2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Susan Tolson</w:t>
            </w:r>
          </w:p>
        </w:tc>
        <w:tc>
          <w:tcPr>
            <w:tcW w:w="1780" w:type="dxa"/>
            <w:vAlign w:val="bottom"/>
            <w:tcBorders>
              <w:bottom w:val="single" w:sz="8" w:color="auto"/>
            </w:tcBorders>
          </w:tcPr>
          <w:p>
            <w:pPr>
              <w:spacing w:after="0"/>
              <w:rPr>
                <w:sz w:val="24"/>
                <w:szCs w:val="24"/>
                <w:color w:val="auto"/>
              </w:rPr>
            </w:pPr>
          </w:p>
        </w:tc>
        <w:tc>
          <w:tcPr>
            <w:tcW w:w="4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300" w:type="dxa"/>
            <w:vAlign w:val="bottom"/>
            <w:gridSpan w:val="3"/>
          </w:tcPr>
          <w:p>
            <w:pPr>
              <w:jc w:val="center"/>
              <w:ind w:left="870"/>
              <w:spacing w:after="0"/>
              <w:rPr>
                <w:sz w:val="20"/>
                <w:szCs w:val="20"/>
                <w:color w:val="auto"/>
              </w:rPr>
            </w:pPr>
            <w:r>
              <w:rPr>
                <w:rFonts w:ascii="Times New Roman" w:cs="Times New Roman" w:eastAsia="Times New Roman" w:hAnsi="Times New Roman"/>
                <w:sz w:val="18"/>
                <w:szCs w:val="18"/>
                <w:color w:val="auto"/>
                <w:w w:val="99"/>
              </w:rPr>
              <w:t>November 5, 2020</w:t>
            </w:r>
          </w:p>
        </w:tc>
      </w:tr>
      <w:tr>
        <w:trPr>
          <w:trHeight w:val="228"/>
        </w:trPr>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Susan Tolson</w:t>
            </w:r>
          </w:p>
        </w:tc>
        <w:tc>
          <w:tcPr>
            <w:tcW w:w="17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2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Paul Viera</w:t>
            </w:r>
          </w:p>
        </w:tc>
        <w:tc>
          <w:tcPr>
            <w:tcW w:w="1780" w:type="dxa"/>
            <w:vAlign w:val="bottom"/>
            <w:tcBorders>
              <w:bottom w:val="single" w:sz="8" w:color="auto"/>
            </w:tcBorders>
          </w:tcPr>
          <w:p>
            <w:pPr>
              <w:spacing w:after="0"/>
              <w:rPr>
                <w:sz w:val="24"/>
                <w:szCs w:val="24"/>
                <w:color w:val="auto"/>
              </w:rPr>
            </w:pPr>
          </w:p>
        </w:tc>
        <w:tc>
          <w:tcPr>
            <w:tcW w:w="4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300" w:type="dxa"/>
            <w:vAlign w:val="bottom"/>
            <w:gridSpan w:val="3"/>
          </w:tcPr>
          <w:p>
            <w:pPr>
              <w:jc w:val="center"/>
              <w:ind w:left="870"/>
              <w:spacing w:after="0"/>
              <w:rPr>
                <w:sz w:val="20"/>
                <w:szCs w:val="20"/>
                <w:color w:val="auto"/>
              </w:rPr>
            </w:pPr>
            <w:r>
              <w:rPr>
                <w:rFonts w:ascii="Times New Roman" w:cs="Times New Roman" w:eastAsia="Times New Roman" w:hAnsi="Times New Roman"/>
                <w:sz w:val="18"/>
                <w:szCs w:val="18"/>
                <w:color w:val="auto"/>
                <w:w w:val="99"/>
              </w:rPr>
              <w:t>November 5, 2020</w:t>
            </w:r>
          </w:p>
        </w:tc>
      </w:tr>
      <w:tr>
        <w:trPr>
          <w:trHeight w:val="228"/>
        </w:trPr>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Paul Viera</w:t>
            </w:r>
          </w:p>
        </w:tc>
        <w:tc>
          <w:tcPr>
            <w:tcW w:w="17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bl>
    <w:p>
      <w:pPr>
        <w:sectPr>
          <w:pgSz w:w="11900" w:h="16838" w:orient="portrait"/>
          <w:cols w:equalWidth="0" w:num="1">
            <w:col w:w="10980"/>
          </w:cols>
          <w:pgMar w:left="440" w:top="266" w:right="47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WILLKIE FARR &amp; GALLAGHER LLP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787 Seventh Avenue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New York, NY 10019-6099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5,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Take-Two Interactive Software,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West 44</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Street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34" w:lineRule="exact"/>
        <w:rPr>
          <w:sz w:val="20"/>
          <w:szCs w:val="20"/>
          <w:color w:val="auto"/>
        </w:rPr>
      </w:pPr>
    </w:p>
    <w:p>
      <w:pPr>
        <w:jc w:val="both"/>
        <w:spacing w:after="0"/>
        <w:tabs>
          <w:tab w:leader="none" w:pos="400" w:val="left"/>
        </w:tabs>
        <w:rPr>
          <w:sz w:val="20"/>
          <w:szCs w:val="20"/>
          <w:color w:val="auto"/>
        </w:rPr>
      </w:pPr>
      <w:r>
        <w:rPr>
          <w:rFonts w:ascii="Times New Roman" w:cs="Times New Roman" w:eastAsia="Times New Roman" w:hAnsi="Times New Roman"/>
          <w:sz w:val="18"/>
          <w:szCs w:val="18"/>
          <w:color w:val="auto"/>
        </w:rPr>
        <w:t>Re:</w:t>
        <w:tab/>
        <w:t>Take-Two Interactive Software, Inc.</w:t>
      </w:r>
    </w:p>
    <w:p>
      <w:pPr>
        <w:spacing w:after="0" w:line="27" w:lineRule="exact"/>
        <w:rPr>
          <w:sz w:val="20"/>
          <w:szCs w:val="20"/>
          <w:color w:val="auto"/>
        </w:rPr>
      </w:pPr>
    </w:p>
    <w:p>
      <w:pPr>
        <w:jc w:val="right"/>
        <w:ind w:right="7980"/>
        <w:spacing w:after="0"/>
        <w:rPr>
          <w:sz w:val="20"/>
          <w:szCs w:val="20"/>
          <w:color w:val="auto"/>
        </w:rPr>
      </w:pPr>
      <w:r>
        <w:rPr>
          <w:rFonts w:ascii="Times New Roman" w:cs="Times New Roman" w:eastAsia="Times New Roman" w:hAnsi="Times New Roman"/>
          <w:sz w:val="18"/>
          <w:szCs w:val="18"/>
          <w:u w:val="single" w:color="auto"/>
          <w:color w:val="auto"/>
        </w:rPr>
        <w:t>Registration Statement on Form S-8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have acted as counsel to Take-Two Interactive Software, Inc., a Delaware corporation (the “Company”), with respect to the Company’s Registration Statement on Form S-8 (the “Registration Statement”) to be filed by the Company with the Securities and Exchange Commission on or about the date hereof. The Registration Statement relates to the registration under the Securities Act of 1933, as amended (the “Act”), by the Company of an additional 2,000,000 shares of Common Stock, par value $0.01 per share (the “Common Stock”), which may be issued under the Company’s Amended and Restated 2017 Stock Incentive Plan (the “Plan”).</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have examined, among other things, originals and/or copies (certified or otherwise identified to our satisfaction) of such documents, papers, statutes, and authorities as we have deemed necessary to form a basis for the opinion hereinafter expressed. In our examination, we have assumed the genuineness of all signatures and the conformity to original documents of all copies submitted to us. As to various questions of fact material to our opinion, we have relied on statements and certificates of officers and representatives of the Company.</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Based on the foregoing, we are of the opinion that, when the Registration Statement becomes effective under the Act, the Common Stock to be issued by the Company under the Plan, when duly issued and delivered pursuant to the terms of the Plan, will be legally issued, fully paid, and non-assessable.</w:t>
      </w:r>
    </w:p>
    <w:p>
      <w:pPr>
        <w:spacing w:after="0" w:line="162"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This opinion is limited to the General Corporation Law of the State of Delaware, and we express no opinion with respect to the laws of any other jurisdiction or any other laws of the State of Delaware.</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In giving such consent, we do not thereby admit that we are in the category of persons whose consent is required under Section 7 of the Act.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Willkie Farr &amp; Gallagher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pertaining to the Amended and Restated Take-Two Interactive Software, Inc. 2017 Stock Incentive Plan of our reports dated May 22, 2020, with respect to the consolidated financial statements of Take-Two Interactive Software, Inc. and the effectiveness of internal control over financial reporting of Take-Two Interactive Software, Inc. included in its Annual Report (Form 10-K) for the year ended March 31, 2020, filed with the Securities and Exchange Commission.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5, 2020</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5" Type="http://schemas.openxmlformats.org/officeDocument/2006/relationships/image" Target="media/image16.png"/><Relationship Id="rId36" Type="http://schemas.openxmlformats.org/officeDocument/2006/relationships/image" Target="media/image17.png"/><Relationship Id="rId37" Type="http://schemas.openxmlformats.org/officeDocument/2006/relationships/image" Target="media/image18.png"/><Relationship Id="rId38" Type="http://schemas.openxmlformats.org/officeDocument/2006/relationships/image" Target="media/image19.png"/><Relationship Id="rId20" Type="http://schemas.openxmlformats.org/officeDocument/2006/relationships/hyperlink" Target="http://www.sec.gov/ix?doc=/Archives/edgar/data/946581/000162828020008291/ttwo-20200331.htm" TargetMode="External"/><Relationship Id="rId21" Type="http://schemas.openxmlformats.org/officeDocument/2006/relationships/hyperlink" Target="http://www.sec.gov/ix?doc=/Archives/edgar/data/946581/000162828020011493/ttwo-20200630.htm" TargetMode="External"/><Relationship Id="rId22" Type="http://schemas.openxmlformats.org/officeDocument/2006/relationships/hyperlink" Target="http://www.sec.gov/ix?doc=/Archives/edgar/data/946581/000162828020015824/ttwo-20200930.htm" TargetMode="External"/><Relationship Id="rId23" Type="http://schemas.openxmlformats.org/officeDocument/2006/relationships/hyperlink" Target="http://www.sec.gov/ix?doc=/Archives/edgar/data/946581/000110465920084100/tm2024847-1_8k.htm" TargetMode="External"/><Relationship Id="rId24" Type="http://schemas.openxmlformats.org/officeDocument/2006/relationships/hyperlink" Target="http://www.sec.gov/ix?doc=/Archives/edgar/data/946581/000119312520223616/d82273d8k.htm" TargetMode="External"/><Relationship Id="rId25" Type="http://schemas.openxmlformats.org/officeDocument/2006/relationships/hyperlink" Target="http://www.sec.gov/ix?doc=/Archives/edgar/data/946581/000110465920103073/tm2030328d1_8k.htm" TargetMode="External"/><Relationship Id="rId26" Type="http://schemas.openxmlformats.org/officeDocument/2006/relationships/hyperlink" Target="http://www.sec.gov/ix?doc=/Archives/edgar/data/946581/000110465920106536/tm2031270d1_8k.htm" TargetMode="External"/><Relationship Id="rId27" Type="http://schemas.openxmlformats.org/officeDocument/2006/relationships/hyperlink" Target="http://www.sec.gov/ix?doc=/Archives/edgar/data/946581/000110465920112653/tm2032463-1_8k.htm" TargetMode="External"/><Relationship Id="rId28" Type="http://schemas.openxmlformats.org/officeDocument/2006/relationships/hyperlink" Target="http://www.sec.gov/Archives/edgar/data/946581/000110465908019702/a08-9031_28a12b.htm" TargetMode="External"/><Relationship Id="rId29" Type="http://schemas.openxmlformats.org/officeDocument/2006/relationships/hyperlink" Target="http://www.sec.gov/Archives/edgar/data/946581/000162828020008291/ex-4103312020.htm" TargetMode="External"/><Relationship Id="rId33" Type="http://schemas.openxmlformats.org/officeDocument/2006/relationships/hyperlink" Target="http://www.sec.gov/Archives/edgar/data/946581/000119312520198591/d940734ddef14a.htm#tx940734_33" TargetMode="External"/><Relationship Id="rId34" Type="http://schemas.openxmlformats.org/officeDocument/2006/relationships/hyperlink" Target="http://www.sec.gov/Archives/edgar/data/946581/000119312520240149/d90600dex99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2020-11-06T07:56:57Z</dcterms:created>
  <dcterms:modified xsi:type="dcterms:W3CDTF">2020-11-06T07:56:57Z</dcterms:modified>
</cp:coreProperties>
</file>