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92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40" w:type="dxa"/>
            <w:vAlign w:val="bottom"/>
            <w:gridSpan w:val="7"/>
          </w:tcPr>
          <w:p>
            <w:pPr>
              <w:spacing w:after="0"/>
              <w:rPr>
                <w:sz w:val="20"/>
                <w:szCs w:val="20"/>
                <w:color w:val="auto"/>
              </w:rPr>
            </w:pPr>
            <w:r>
              <w:rPr>
                <w:rFonts w:ascii="Arial" w:cs="Arial" w:eastAsia="Arial" w:hAnsi="Arial"/>
                <w:sz w:val="13"/>
                <w:szCs w:val="13"/>
                <w:color w:val="auto"/>
              </w:rPr>
              <w:t>5. Relationship of Reporting Person(s) to Issuer</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vMerge w:val="restart"/>
          </w:tcPr>
          <w:p>
            <w:pPr>
              <w:spacing w:after="0"/>
              <w:rPr>
                <w:rFonts w:ascii="Arial" w:cs="Arial" w:eastAsia="Arial" w:hAnsi="Arial"/>
                <w:sz w:val="21"/>
                <w:szCs w:val="21"/>
                <w:u w:val="single" w:color="auto"/>
                <w:color w:val="0000EE"/>
                <w:w w:val="97"/>
              </w:rPr>
            </w:pPr>
            <w:hyperlink r:id="rId13">
              <w:r>
                <w:rPr>
                  <w:rFonts w:ascii="Arial" w:cs="Arial" w:eastAsia="Arial" w:hAnsi="Arial"/>
                  <w:sz w:val="21"/>
                  <w:szCs w:val="21"/>
                  <w:u w:val="single" w:color="auto"/>
                  <w:color w:val="0000EE"/>
                  <w:w w:val="97"/>
                </w:rPr>
                <w:t>Viera Paul E</w:t>
              </w:r>
            </w:hyperlink>
          </w:p>
        </w:tc>
        <w:tc>
          <w:tcPr>
            <w:tcW w:w="8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gridSpan w:val="5"/>
          </w:tcPr>
          <w:p>
            <w:pPr>
              <w:spacing w:after="0" w:line="107" w:lineRule="exact"/>
              <w:rPr>
                <w:rFonts w:ascii="Arial" w:cs="Arial" w:eastAsia="Arial" w:hAnsi="Arial"/>
                <w:sz w:val="12"/>
                <w:szCs w:val="12"/>
                <w:color w:val="0000EE"/>
              </w:rPr>
            </w:pPr>
            <w:hyperlink r:id="rId14">
              <w:r>
                <w:rPr>
                  <w:rFonts w:ascii="Arial" w:cs="Arial" w:eastAsia="Arial" w:hAnsi="Arial"/>
                  <w:sz w:val="12"/>
                  <w:szCs w:val="12"/>
                  <w:color w:val="0000EE"/>
                </w:rPr>
                <w:t>TAKE TWO INTERACTIVE</w:t>
              </w:r>
            </w:hyperlink>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gridSpan w:val="3"/>
            <w:vMerge w:val="restart"/>
          </w:tcPr>
          <w:p>
            <w:pPr>
              <w:spacing w:after="0"/>
              <w:rPr>
                <w:sz w:val="20"/>
                <w:szCs w:val="20"/>
                <w:color w:val="auto"/>
              </w:rPr>
            </w:pPr>
            <w:r>
              <w:rPr>
                <w:rFonts w:ascii="Arial" w:cs="Arial" w:eastAsia="Arial" w:hAnsi="Arial"/>
                <w:sz w:val="13"/>
                <w:szCs w:val="13"/>
                <w:color w:val="auto"/>
              </w:rPr>
              <w:t>(Check all applicable)</w:t>
            </w: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gridSpan w:val="3"/>
            <w:vMerge w:val="continue"/>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gridSpan w:val="2"/>
            <w:vMerge w:val="restart"/>
          </w:tcPr>
          <w:p>
            <w:pPr>
              <w:ind w:left="200"/>
              <w:spacing w:after="0"/>
              <w:rPr>
                <w:sz w:val="20"/>
                <w:szCs w:val="20"/>
                <w:color w:val="auto"/>
              </w:rPr>
            </w:pPr>
            <w:r>
              <w:rPr>
                <w:rFonts w:ascii="Arial" w:cs="Arial" w:eastAsia="Arial" w:hAnsi="Arial"/>
                <w:sz w:val="17"/>
                <w:szCs w:val="17"/>
                <w:color w:val="0000FF"/>
              </w:rPr>
              <w:t>X</w:t>
            </w:r>
          </w:p>
        </w:tc>
        <w:tc>
          <w:tcPr>
            <w:tcW w:w="92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700" w:type="dxa"/>
            <w:vAlign w:val="bottom"/>
          </w:tcPr>
          <w:p>
            <w:pPr>
              <w:spacing w:after="0"/>
              <w:rPr>
                <w:sz w:val="2"/>
                <w:szCs w:val="2"/>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3"/>
                <w:szCs w:val="13"/>
                <w:color w:val="auto"/>
              </w:rPr>
              <w:t>10% Owner</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gridSpan w:val="5"/>
            <w:vMerge w:val="restart"/>
          </w:tcPr>
          <w:p>
            <w:pPr>
              <w:spacing w:after="0" w:line="220" w:lineRule="exact"/>
              <w:rPr>
                <w:rFonts w:ascii="Arial" w:cs="Arial" w:eastAsia="Arial" w:hAnsi="Arial"/>
                <w:sz w:val="21"/>
                <w:szCs w:val="21"/>
                <w:color w:val="0000EE"/>
              </w:rPr>
            </w:pPr>
            <w:hyperlink r:id="rId14">
              <w:r>
                <w:rPr>
                  <w:rFonts w:ascii="Arial" w:cs="Arial" w:eastAsia="Arial" w:hAnsi="Arial"/>
                  <w:sz w:val="21"/>
                  <w:szCs w:val="21"/>
                  <w:color w:val="0000EE"/>
                </w:rPr>
                <w:t xml:space="preserve">SOFTWARE 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TTWO</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920" w:type="dxa"/>
            <w:vAlign w:val="bottom"/>
            <w:gridSpan w:val="5"/>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20" w:type="dxa"/>
            <w:vAlign w:val="bottom"/>
            <w:gridSpan w:val="5"/>
            <w:vMerge w:val="continue"/>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162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200" w:type="dxa"/>
            <w:vAlign w:val="bottom"/>
            <w:gridSpan w:val="3"/>
            <w:vMerge w:val="restart"/>
          </w:tcPr>
          <w:p>
            <w:pPr>
              <w:ind w:left="40"/>
              <w:spacing w:after="0"/>
              <w:rPr>
                <w:sz w:val="20"/>
                <w:szCs w:val="20"/>
                <w:color w:val="auto"/>
              </w:rPr>
            </w:pPr>
            <w:r>
              <w:rPr>
                <w:rFonts w:ascii="Arial" w:cs="Arial" w:eastAsia="Arial" w:hAnsi="Arial"/>
                <w:sz w:val="13"/>
                <w:szCs w:val="13"/>
                <w:color w:val="auto"/>
              </w:rPr>
              <w:t>Other (specify</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9A9A9A"/>
            </w:tcBorders>
          </w:tcPr>
          <w:p>
            <w:pPr>
              <w:spacing w:after="0" w:line="20" w:lineRule="exact"/>
              <w:rPr>
                <w:sz w:val="1"/>
                <w:szCs w:val="1"/>
                <w:color w:val="auto"/>
              </w:rPr>
            </w:pPr>
          </w:p>
        </w:tc>
        <w:tc>
          <w:tcPr>
            <w:tcW w:w="840" w:type="dxa"/>
            <w:vAlign w:val="bottom"/>
            <w:tcBorders>
              <w:bottom w:val="single" w:sz="8" w:color="9A9A9A"/>
            </w:tcBorders>
          </w:tcPr>
          <w:p>
            <w:pPr>
              <w:spacing w:after="0" w:line="20" w:lineRule="exact"/>
              <w:rPr>
                <w:sz w:val="1"/>
                <w:szCs w:val="1"/>
                <w:color w:val="auto"/>
              </w:rPr>
            </w:pPr>
          </w:p>
        </w:tc>
        <w:tc>
          <w:tcPr>
            <w:tcW w:w="164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gridSpan w:val="2"/>
            <w:vMerge w:val="continue"/>
          </w:tcPr>
          <w:p>
            <w:pPr>
              <w:spacing w:after="0" w:line="20" w:lineRule="exact"/>
              <w:rPr>
                <w:sz w:val="1"/>
                <w:szCs w:val="1"/>
                <w:color w:val="auto"/>
              </w:rPr>
            </w:pPr>
          </w:p>
        </w:tc>
        <w:tc>
          <w:tcPr>
            <w:tcW w:w="120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line="141" w:lineRule="exact"/>
              <w:rPr>
                <w:sz w:val="20"/>
                <w:szCs w:val="20"/>
                <w:color w:val="auto"/>
              </w:rPr>
            </w:pPr>
            <w:r>
              <w:rPr>
                <w:rFonts w:ascii="Arial" w:cs="Arial" w:eastAsia="Arial" w:hAnsi="Arial"/>
                <w:sz w:val="13"/>
                <w:szCs w:val="13"/>
                <w:color w:val="auto"/>
              </w:rPr>
              <w:t>(Last)</w:t>
            </w:r>
          </w:p>
        </w:tc>
        <w:tc>
          <w:tcPr>
            <w:tcW w:w="840" w:type="dxa"/>
            <w:vAlign w:val="bottom"/>
          </w:tcPr>
          <w:p>
            <w:pPr>
              <w:ind w:left="60"/>
              <w:spacing w:after="0" w:line="141" w:lineRule="exact"/>
              <w:rPr>
                <w:sz w:val="20"/>
                <w:szCs w:val="20"/>
                <w:color w:val="auto"/>
              </w:rPr>
            </w:pPr>
            <w:r>
              <w:rPr>
                <w:rFonts w:ascii="Arial" w:cs="Arial" w:eastAsia="Arial" w:hAnsi="Arial"/>
                <w:sz w:val="13"/>
                <w:szCs w:val="13"/>
                <w:color w:val="auto"/>
              </w:rPr>
              <w:t>(First)</w:t>
            </w:r>
          </w:p>
        </w:tc>
        <w:tc>
          <w:tcPr>
            <w:tcW w:w="1720" w:type="dxa"/>
            <w:vAlign w:val="bottom"/>
            <w:gridSpan w:val="2"/>
          </w:tcPr>
          <w:p>
            <w:pPr>
              <w:ind w:left="440"/>
              <w:spacing w:after="0" w:line="141" w:lineRule="exact"/>
              <w:rPr>
                <w:sz w:val="20"/>
                <w:szCs w:val="20"/>
                <w:color w:val="auto"/>
              </w:rPr>
            </w:pPr>
            <w:r>
              <w:rPr>
                <w:rFonts w:ascii="Arial" w:cs="Arial" w:eastAsia="Arial" w:hAnsi="Arial"/>
                <w:sz w:val="13"/>
                <w:szCs w:val="13"/>
                <w:color w:val="auto"/>
              </w:rPr>
              <w:t>(Middle)</w:t>
            </w:r>
          </w:p>
        </w:tc>
        <w:tc>
          <w:tcPr>
            <w:tcW w:w="80" w:type="dxa"/>
            <w:vAlign w:val="bottom"/>
            <w:tcBorders>
              <w:bottom w:val="single" w:sz="8" w:color="2C2C2C"/>
            </w:tcBorders>
          </w:tcPr>
          <w:p>
            <w:pPr>
              <w:spacing w:after="0"/>
              <w:rPr>
                <w:sz w:val="14"/>
                <w:szCs w:val="14"/>
                <w:color w:val="auto"/>
              </w:rPr>
            </w:pPr>
          </w:p>
        </w:tc>
        <w:tc>
          <w:tcPr>
            <w:tcW w:w="13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ind w:left="100"/>
              <w:spacing w:after="0" w:line="14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1200" w:type="dxa"/>
            <w:vAlign w:val="bottom"/>
            <w:gridSpan w:val="3"/>
          </w:tcPr>
          <w:p>
            <w:pPr>
              <w:ind w:left="40"/>
              <w:spacing w:after="0" w:line="141" w:lineRule="exact"/>
              <w:rPr>
                <w:sz w:val="20"/>
                <w:szCs w:val="20"/>
                <w:color w:val="auto"/>
              </w:rPr>
            </w:pPr>
            <w:r>
              <w:rPr>
                <w:rFonts w:ascii="Arial" w:cs="Arial" w:eastAsia="Arial" w:hAnsi="Arial"/>
                <w:sz w:val="13"/>
                <w:szCs w:val="13"/>
                <w:color w:val="auto"/>
              </w:rPr>
              <w:t>below)</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0" w:type="dxa"/>
            <w:vAlign w:val="bottom"/>
            <w:gridSpan w:val="5"/>
          </w:tcPr>
          <w:p>
            <w:pPr>
              <w:spacing w:after="0"/>
              <w:rPr>
                <w:sz w:val="20"/>
                <w:szCs w:val="20"/>
                <w:color w:val="auto"/>
              </w:rPr>
            </w:pPr>
            <w:r>
              <w:rPr>
                <w:rFonts w:ascii="Arial" w:cs="Arial" w:eastAsia="Arial" w:hAnsi="Arial"/>
                <w:sz w:val="17"/>
                <w:szCs w:val="17"/>
                <w:color w:val="0000FF"/>
              </w:rPr>
              <w:t>C/O TAKE-TWO INTERACTIVE SOFTWARE,</w:t>
            </w:r>
          </w:p>
        </w:tc>
        <w:tc>
          <w:tcPr>
            <w:tcW w:w="2920" w:type="dxa"/>
            <w:vAlign w:val="bottom"/>
            <w:gridSpan w:val="5"/>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vMerge w:val="restart"/>
          </w:tcPr>
          <w:p>
            <w:pPr>
              <w:spacing w:after="0"/>
              <w:rPr>
                <w:sz w:val="20"/>
                <w:szCs w:val="20"/>
                <w:color w:val="auto"/>
              </w:rPr>
            </w:pPr>
            <w:r>
              <w:rPr>
                <w:rFonts w:ascii="Arial" w:cs="Arial" w:eastAsia="Arial" w:hAnsi="Arial"/>
                <w:sz w:val="17"/>
                <w:szCs w:val="17"/>
                <w:color w:val="0000FF"/>
              </w:rPr>
              <w:t>INC.</w:t>
            </w:r>
          </w:p>
        </w:tc>
        <w:tc>
          <w:tcPr>
            <w:tcW w:w="8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7"/>
                <w:szCs w:val="17"/>
                <w:color w:val="0000FF"/>
              </w:rPr>
              <w:t>08/11/2020</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0" w:type="dxa"/>
            <w:vAlign w:val="bottom"/>
            <w:gridSpan w:val="2"/>
            <w:vMerge w:val="restart"/>
          </w:tcPr>
          <w:p>
            <w:pPr>
              <w:spacing w:after="0"/>
              <w:rPr>
                <w:sz w:val="20"/>
                <w:szCs w:val="20"/>
                <w:color w:val="auto"/>
              </w:rPr>
            </w:pPr>
            <w:r>
              <w:rPr>
                <w:rFonts w:ascii="Arial" w:cs="Arial" w:eastAsia="Arial" w:hAnsi="Arial"/>
                <w:sz w:val="17"/>
                <w:szCs w:val="17"/>
                <w:color w:val="0000FF"/>
                <w:w w:val="98"/>
              </w:rPr>
              <w:t>110 WEST 44TH STREET</w:t>
            </w: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3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0" w:type="dxa"/>
            <w:vAlign w:val="bottom"/>
            <w:gridSpan w:val="2"/>
            <w:vMerge w:val="continue"/>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40" w:type="dxa"/>
            <w:vAlign w:val="bottom"/>
            <w:gridSpan w:val="7"/>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6"/>
            <w:vMerge w:val="continue"/>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40" w:type="dxa"/>
            <w:vAlign w:val="bottom"/>
            <w:gridSpan w:val="7"/>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64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40" w:type="dxa"/>
            <w:vAlign w:val="bottom"/>
            <w:gridSpan w:val="7"/>
          </w:tcPr>
          <w:p>
            <w:pPr>
              <w:ind w:left="2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NEW YORK</w:t>
            </w:r>
          </w:p>
        </w:tc>
        <w:tc>
          <w:tcPr>
            <w:tcW w:w="840" w:type="dxa"/>
            <w:vAlign w:val="bottom"/>
          </w:tcPr>
          <w:p>
            <w:pPr>
              <w:ind w:left="60"/>
              <w:spacing w:after="0"/>
              <w:rPr>
                <w:sz w:val="20"/>
                <w:szCs w:val="20"/>
                <w:color w:val="auto"/>
              </w:rPr>
            </w:pPr>
            <w:r>
              <w:rPr>
                <w:rFonts w:ascii="Arial" w:cs="Arial" w:eastAsia="Arial" w:hAnsi="Arial"/>
                <w:sz w:val="17"/>
                <w:szCs w:val="17"/>
                <w:color w:val="0000FF"/>
              </w:rPr>
              <w:t>NY</w:t>
            </w:r>
          </w:p>
        </w:tc>
        <w:tc>
          <w:tcPr>
            <w:tcW w:w="1640" w:type="dxa"/>
            <w:vAlign w:val="bottom"/>
          </w:tcPr>
          <w:p>
            <w:pPr>
              <w:ind w:left="440"/>
              <w:spacing w:after="0"/>
              <w:rPr>
                <w:sz w:val="20"/>
                <w:szCs w:val="20"/>
                <w:color w:val="auto"/>
              </w:rPr>
            </w:pPr>
            <w:r>
              <w:rPr>
                <w:rFonts w:ascii="Arial" w:cs="Arial" w:eastAsia="Arial" w:hAnsi="Arial"/>
                <w:sz w:val="17"/>
                <w:szCs w:val="17"/>
                <w:color w:val="0000FF"/>
              </w:rPr>
              <w:t>10036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5"/>
          </w:tcPr>
          <w:p>
            <w:pPr>
              <w:ind w:left="100"/>
              <w:spacing w:after="0"/>
              <w:rPr>
                <w:sz w:val="20"/>
                <w:szCs w:val="20"/>
                <w:color w:val="auto"/>
              </w:rPr>
            </w:pPr>
            <w:r>
              <w:rPr>
                <w:rFonts w:ascii="Arial" w:cs="Arial" w:eastAsia="Arial" w:hAnsi="Arial"/>
                <w:sz w:val="13"/>
                <w:szCs w:val="13"/>
                <w:color w:val="auto"/>
              </w:rPr>
              <w:t>Form filed by More than One Reporting</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3"/>
                <w:szCs w:val="13"/>
                <w:color w:val="auto"/>
              </w:rPr>
              <w:t>Person</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40" w:type="dxa"/>
            <w:vAlign w:val="bottom"/>
          </w:tcPr>
          <w:p>
            <w:pPr>
              <w:ind w:left="60"/>
              <w:spacing w:after="0"/>
              <w:rPr>
                <w:sz w:val="20"/>
                <w:szCs w:val="20"/>
                <w:color w:val="auto"/>
              </w:rPr>
            </w:pPr>
            <w:r>
              <w:rPr>
                <w:rFonts w:ascii="Arial" w:cs="Arial" w:eastAsia="Arial" w:hAnsi="Arial"/>
                <w:sz w:val="13"/>
                <w:szCs w:val="13"/>
                <w:color w:val="auto"/>
              </w:rPr>
              <w:t>(State)</w:t>
            </w:r>
          </w:p>
        </w:tc>
        <w:tc>
          <w:tcPr>
            <w:tcW w:w="1800" w:type="dxa"/>
            <w:vAlign w:val="bottom"/>
            <w:gridSpan w:val="3"/>
          </w:tcPr>
          <w:p>
            <w:pPr>
              <w:ind w:left="440"/>
              <w:spacing w:after="0"/>
              <w:rPr>
                <w:sz w:val="20"/>
                <w:szCs w:val="20"/>
                <w:color w:val="auto"/>
              </w:rPr>
            </w:pPr>
            <w:r>
              <w:rPr>
                <w:rFonts w:ascii="Arial" w:cs="Arial" w:eastAsia="Arial" w:hAnsi="Arial"/>
                <w:sz w:val="13"/>
                <w:szCs w:val="13"/>
                <w:color w:val="auto"/>
              </w:rPr>
              <w:t>(Zip)</w:t>
            </w: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gridSpan w:val="3"/>
          </w:tcPr>
          <w:p>
            <w:pPr>
              <w:spacing w:after="0"/>
              <w:rPr>
                <w:sz w:val="11"/>
                <w:szCs w:val="11"/>
                <w:color w:val="auto"/>
              </w:rPr>
            </w:pPr>
          </w:p>
        </w:tc>
        <w:tc>
          <w:tcPr>
            <w:tcW w:w="100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140" w:type="dxa"/>
            <w:vAlign w:val="bottom"/>
            <w:tcBorders>
              <w:bottom w:val="single" w:sz="8" w:color="2C2C2C"/>
            </w:tcBorders>
            <w:gridSpan w:val="2"/>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6960" w:type="dxa"/>
            <w:vAlign w:val="bottom"/>
            <w:tcBorders>
              <w:top w:val="single" w:sz="8" w:color="2C2C2C"/>
            </w:tcBorders>
            <w:gridSpan w:val="14"/>
          </w:tcPr>
          <w:p>
            <w:pPr>
              <w:ind w:lef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0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9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5"/>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980"/>
              <w:spacing w:after="0"/>
              <w:rPr>
                <w:sz w:val="20"/>
                <w:szCs w:val="20"/>
                <w:color w:val="auto"/>
              </w:rPr>
            </w:pPr>
            <w:r>
              <w:rPr>
                <w:rFonts w:ascii="Arial" w:cs="Arial" w:eastAsia="Arial" w:hAnsi="Arial"/>
                <w:sz w:val="12"/>
                <w:szCs w:val="12"/>
                <w:b w:val="1"/>
                <w:bCs w:val="1"/>
                <w:color w:val="auto"/>
                <w:w w:val="98"/>
              </w:rPr>
              <w:t>2. Transaction</w:t>
            </w:r>
          </w:p>
        </w:tc>
        <w:tc>
          <w:tcPr>
            <w:tcW w:w="1360" w:type="dxa"/>
            <w:vAlign w:val="bottom"/>
          </w:tcPr>
          <w:p>
            <w:pPr>
              <w:ind w:left="30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60"/>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3000" w:type="dxa"/>
            <w:vAlign w:val="bottom"/>
            <w:gridSpan w:val="8"/>
          </w:tcPr>
          <w:p>
            <w:pPr>
              <w:ind w:left="60"/>
              <w:spacing w:after="0"/>
              <w:rPr>
                <w:sz w:val="20"/>
                <w:szCs w:val="20"/>
                <w:color w:val="auto"/>
              </w:rPr>
            </w:pPr>
            <w:r>
              <w:rPr>
                <w:rFonts w:ascii="Arial" w:cs="Arial" w:eastAsia="Arial" w:hAnsi="Arial"/>
                <w:sz w:val="12"/>
                <w:szCs w:val="12"/>
                <w:b w:val="1"/>
                <w:bCs w:val="1"/>
                <w:color w:val="auto"/>
              </w:rPr>
              <w:t>4. Securities Acquired (A) or5. Amount of</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980"/>
              <w:spacing w:after="0" w:line="131" w:lineRule="exact"/>
              <w:rPr>
                <w:sz w:val="20"/>
                <w:szCs w:val="20"/>
                <w:color w:val="auto"/>
              </w:rPr>
            </w:pPr>
            <w:r>
              <w:rPr>
                <w:rFonts w:ascii="Arial" w:cs="Arial" w:eastAsia="Arial" w:hAnsi="Arial"/>
                <w:sz w:val="12"/>
                <w:szCs w:val="12"/>
                <w:b w:val="1"/>
                <w:bCs w:val="1"/>
                <w:color w:val="auto"/>
              </w:rPr>
              <w:t>Date</w:t>
            </w:r>
          </w:p>
        </w:tc>
        <w:tc>
          <w:tcPr>
            <w:tcW w:w="1360" w:type="dxa"/>
            <w:vAlign w:val="bottom"/>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66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w:t>
            </w:r>
          </w:p>
        </w:tc>
        <w:tc>
          <w:tcPr>
            <w:tcW w:w="200" w:type="dxa"/>
            <w:vAlign w:val="bottom"/>
          </w:tcPr>
          <w:p>
            <w:pPr>
              <w:spacing w:after="0"/>
              <w:rPr>
                <w:sz w:val="11"/>
                <w:szCs w:val="11"/>
                <w:color w:val="auto"/>
              </w:rPr>
            </w:pPr>
          </w:p>
        </w:tc>
        <w:tc>
          <w:tcPr>
            <w:tcW w:w="11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160" w:type="dxa"/>
            <w:vAlign w:val="bottom"/>
            <w:gridSpan w:val="4"/>
          </w:tcPr>
          <w:p>
            <w:pPr>
              <w:ind w:left="98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(I) (Instr. 4)</w:t>
            </w:r>
          </w:p>
        </w:tc>
        <w:tc>
          <w:tcPr>
            <w:tcW w:w="200" w:type="dxa"/>
            <w:vAlign w:val="bottom"/>
          </w:tcPr>
          <w:p>
            <w:pPr>
              <w:spacing w:after="0"/>
              <w:rPr>
                <w:sz w:val="11"/>
                <w:szCs w:val="11"/>
                <w:color w:val="auto"/>
              </w:rPr>
            </w:pPr>
          </w:p>
        </w:tc>
        <w:tc>
          <w:tcPr>
            <w:tcW w:w="10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1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3160" w:type="dxa"/>
            <w:vAlign w:val="bottom"/>
            <w:tcBorders>
              <w:bottom w:val="single" w:sz="8" w:color="2C2C2C"/>
            </w:tcBorders>
            <w:gridSpan w:val="4"/>
          </w:tcPr>
          <w:p>
            <w:pPr>
              <w:ind w:left="1080"/>
              <w:spacing w:after="0"/>
              <w:rPr>
                <w:sz w:val="20"/>
                <w:szCs w:val="20"/>
                <w:color w:val="auto"/>
              </w:rPr>
            </w:pPr>
            <w:r>
              <w:rPr>
                <w:rFonts w:ascii="Arial" w:cs="Arial" w:eastAsia="Arial" w:hAnsi="Arial"/>
                <w:sz w:val="17"/>
                <w:szCs w:val="17"/>
                <w:color w:val="0000FF"/>
              </w:rPr>
              <w:t>08/11/2020</w:t>
            </w:r>
          </w:p>
        </w:tc>
        <w:tc>
          <w:tcPr>
            <w:tcW w:w="800" w:type="dxa"/>
            <w:vAlign w:val="bottom"/>
            <w:tcBorders>
              <w:bottom w:val="single" w:sz="8" w:color="2C2C2C"/>
            </w:tcBorders>
            <w:gridSpan w:val="2"/>
          </w:tcPr>
          <w:p>
            <w:pPr>
              <w:ind w:left="16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0000FF"/>
              </w:rPr>
              <w:t>444</w:t>
            </w:r>
            <w:r>
              <w:rPr>
                <w:rFonts w:ascii="Arial" w:cs="Arial" w:eastAsia="Arial" w:hAnsi="Arial"/>
                <w:sz w:val="22"/>
                <w:szCs w:val="22"/>
                <w:color w:val="008000"/>
                <w:vertAlign w:val="superscript"/>
              </w:rPr>
              <w:t>(1)</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40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jc w:val="center"/>
              <w:ind w:right="166"/>
              <w:spacing w:after="0"/>
              <w:rPr>
                <w:sz w:val="20"/>
                <w:szCs w:val="20"/>
                <w:color w:val="auto"/>
              </w:rPr>
            </w:pPr>
            <w:r>
              <w:rPr>
                <w:rFonts w:ascii="Arial" w:cs="Arial" w:eastAsia="Arial" w:hAnsi="Arial"/>
                <w:sz w:val="17"/>
                <w:szCs w:val="17"/>
                <w:color w:val="0000FF"/>
                <w:w w:val="93"/>
              </w:rPr>
              <w:t>5,822</w:t>
            </w:r>
          </w:p>
        </w:tc>
        <w:tc>
          <w:tcPr>
            <w:tcW w:w="7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By Earnest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ind w:right="166"/>
              <w:spacing w:after="0"/>
              <w:rPr>
                <w:sz w:val="20"/>
                <w:szCs w:val="20"/>
                <w:color w:val="auto"/>
              </w:rPr>
            </w:pPr>
            <w:r>
              <w:rPr>
                <w:rFonts w:ascii="Arial" w:cs="Arial" w:eastAsia="Arial" w:hAnsi="Arial"/>
                <w:sz w:val="17"/>
                <w:szCs w:val="17"/>
                <w:color w:val="0000FF"/>
                <w:w w:val="84"/>
              </w:rPr>
              <w:t>74</w:t>
            </w:r>
          </w:p>
        </w:tc>
        <w:tc>
          <w:tcPr>
            <w:tcW w:w="700" w:type="dxa"/>
            <w:vAlign w:val="bottom"/>
          </w:tcPr>
          <w:p>
            <w:pPr>
              <w:ind w:left="420"/>
              <w:spacing w:after="0"/>
              <w:rPr>
                <w:sz w:val="20"/>
                <w:szCs w:val="20"/>
                <w:color w:val="auto"/>
              </w:rPr>
            </w:pPr>
            <w:r>
              <w:rPr>
                <w:rFonts w:ascii="Arial" w:cs="Arial" w:eastAsia="Arial" w:hAnsi="Arial"/>
                <w:sz w:val="17"/>
                <w:szCs w:val="17"/>
                <w:color w:val="0000FF"/>
              </w:rPr>
              <w:t>I</w:t>
            </w:r>
          </w:p>
        </w:tc>
        <w:tc>
          <w:tcPr>
            <w:tcW w:w="20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Institutional</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By The</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PEV</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ind w:right="166"/>
              <w:spacing w:after="0"/>
              <w:rPr>
                <w:sz w:val="20"/>
                <w:szCs w:val="20"/>
                <w:color w:val="auto"/>
              </w:rPr>
            </w:pPr>
            <w:r>
              <w:rPr>
                <w:rFonts w:ascii="Arial" w:cs="Arial" w:eastAsia="Arial" w:hAnsi="Arial"/>
                <w:sz w:val="17"/>
                <w:szCs w:val="17"/>
                <w:color w:val="0000FF"/>
                <w:w w:val="92"/>
              </w:rPr>
              <w:t>75,000</w:t>
            </w:r>
          </w:p>
        </w:tc>
        <w:tc>
          <w:tcPr>
            <w:tcW w:w="700" w:type="dxa"/>
            <w:vAlign w:val="bottom"/>
          </w:tcPr>
          <w:p>
            <w:pPr>
              <w:ind w:left="420"/>
              <w:spacing w:after="0"/>
              <w:rPr>
                <w:sz w:val="20"/>
                <w:szCs w:val="20"/>
                <w:color w:val="auto"/>
              </w:rPr>
            </w:pPr>
            <w:r>
              <w:rPr>
                <w:rFonts w:ascii="Arial" w:cs="Arial" w:eastAsia="Arial" w:hAnsi="Arial"/>
                <w:sz w:val="17"/>
                <w:szCs w:val="17"/>
                <w:color w:val="0000FF"/>
              </w:rPr>
              <w:t>I</w:t>
            </w:r>
          </w:p>
        </w:tc>
        <w:tc>
          <w:tcPr>
            <w:tcW w:w="20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Revocable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Living</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6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1360" w:type="dxa"/>
            <w:vAlign w:val="bottom"/>
            <w:tcBorders>
              <w:top w:val="single" w:sz="8" w:color="808080"/>
            </w:tcBorders>
            <w:shd w:val="clear" w:color="auto" w:fill="2C2C2C"/>
          </w:tcPr>
          <w:p>
            <w:pPr>
              <w:spacing w:after="0" w:line="20" w:lineRule="exact"/>
              <w:rPr>
                <w:sz w:val="1"/>
                <w:szCs w:val="1"/>
                <w:color w:val="auto"/>
              </w:rPr>
            </w:pPr>
          </w:p>
        </w:tc>
        <w:tc>
          <w:tcPr>
            <w:tcW w:w="18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shd w:val="clear" w:color="auto" w:fill="2C2C2C"/>
          </w:tcPr>
          <w:p>
            <w:pPr>
              <w:spacing w:after="0" w:line="20" w:lineRule="exact"/>
              <w:rPr>
                <w:sz w:val="1"/>
                <w:szCs w:val="1"/>
                <w:color w:val="auto"/>
              </w:rPr>
            </w:pPr>
          </w:p>
        </w:tc>
        <w:tc>
          <w:tcPr>
            <w:tcW w:w="500" w:type="dxa"/>
            <w:vAlign w:val="bottom"/>
            <w:tcBorders>
              <w:top w:val="single" w:sz="8" w:color="808080"/>
            </w:tcBorders>
            <w:shd w:val="clear" w:color="auto" w:fill="2C2C2C"/>
          </w:tcPr>
          <w:p>
            <w:pPr>
              <w:spacing w:after="0" w:line="20" w:lineRule="exact"/>
              <w:rPr>
                <w:sz w:val="1"/>
                <w:szCs w:val="1"/>
                <w:color w:val="auto"/>
              </w:rPr>
            </w:pPr>
          </w:p>
        </w:tc>
        <w:tc>
          <w:tcPr>
            <w:tcW w:w="3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20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-2393950</wp:posOffset>
            </wp:positionV>
            <wp:extent cx="7031355" cy="41713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4171315"/>
                    </a:xfrm>
                    <a:prstGeom prst="rect">
                      <a:avLst/>
                    </a:prstGeom>
                    <a:noFill/>
                  </pic:spPr>
                </pic:pic>
              </a:graphicData>
            </a:graphic>
          </wp:anchor>
        </w:drawing>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8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acquisition of shares pursuant to a grant of restricted common stock pursuant to the Director compensation program (the "Program") and the Issuer's 2017 Stock Incentive Plan (the "Stock Plan"). Includes 318 shares of restricted stock that vest on the first anniversary of the Pricing Date (as defined below) and 126 shares of common stock granted in lieu of cash compensation at the election of the Reporting Person, which shares were fully vested upon grant. As provided by the terms of the Program and the Stock Plan, (i) the grant date was August 11, 2020; and (ii) the number of shares were determined based on the dollar value of the award and the average of the closing prices of the common stock on the ten trading days prior to August 11, 2020 (the "Pricing Date"), the fifth trading day following the filing of the Issuer's Quarterly Report on Form 10-Q.</w:t>
      </w:r>
    </w:p>
    <w:p>
      <w:pPr>
        <w:spacing w:after="0" w:line="29" w:lineRule="exact"/>
        <w:rPr>
          <w:rFonts w:ascii="Arial" w:cs="Arial" w:eastAsia="Arial" w:hAnsi="Arial"/>
          <w:sz w:val="13"/>
          <w:szCs w:val="13"/>
          <w:color w:val="008000"/>
        </w:rPr>
      </w:pPr>
    </w:p>
    <w:p>
      <w:pPr>
        <w:ind w:left="40" w:right="240" w:firstLine="7"/>
        <w:spacing w:after="0" w:line="30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74 shares of Common Stock held directly by Earnest Institutional LLC, an affiliate of Earnest Partners LLC, of which Mr. Viera is a partner and the Chief Executive Officer (such securities are not held individually by Mr. Viera). Mr. Viera disclaims beneficial ownership of the securities held by Earnest Institutional LLC except to the extent of his pecuniary interest therein.</w:t>
      </w: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75,000 shares of Common Stock held by The PEV Revocable Living Trust (such securities are indirectly held by Mr. Viera).</w:t>
      </w:r>
    </w:p>
    <w:p>
      <w:pPr>
        <w:spacing w:after="0" w:line="44"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Aaron Diamond,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08/12/2020</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 for Mr. Paul Viera</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6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41087" TargetMode="External"/><Relationship Id="rId14"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2020-08-12T17:25:15Z</dcterms:created>
  <dcterms:modified xsi:type="dcterms:W3CDTF">2020-08-12T17:25:15Z</dcterms:modified>
</cp:coreProperties>
</file>