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Emerson Daniel P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TAKE TWO INTERACTIVE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SOFTWARE 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TTWO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TAKE-TWO INTERACTIVE SOFTWARE,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07/09/2020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 WEST 44TH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40,833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effected pursuant to a previously established Rule 10b5-1 trading plan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(i) 1 share of Common Stock, (ii) 6,728 unvested time-based restricted stock units, and (iii) 34,104 unvested performance-based restricted stock units. Such unvested awards will vest, or fail to vest, in accordance with the terms of the applicable award agreements.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Daniel Emerson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07/10/2020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23654" TargetMode="External"/><Relationship Id="rId14" Type="http://schemas.openxmlformats.org/officeDocument/2006/relationships/hyperlink" Target="http://www.sec.gov/cgi-bin/browse-edgar?action=getcompany&amp;CIK=000094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2020-07-10T15:35:41Z</dcterms:created>
  <dcterms:modified xsi:type="dcterms:W3CDTF">2020-07-10T15:35:41Z</dcterms:modified>
</cp:coreProperties>
</file>