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6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ZELNICK STRAUSS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ind w:right="555"/>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TAKE TWO INTERACTIVE</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SOFTWARE 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0" w:lineRule="exact"/>
        <w:rPr>
          <w:sz w:val="20"/>
          <w:szCs w:val="20"/>
          <w:color w:val="auto"/>
        </w:rPr>
      </w:pPr>
      <w:r>
        <w:rPr>
          <w:sz w:val="20"/>
          <w:szCs w:val="20"/>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67"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tcBorders>
              <w:top w:val="single" w:sz="8" w:color="2C2C2C"/>
            </w:tcBorders>
            <w:gridSpan w:val="8"/>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7"/>
                <w:szCs w:val="17"/>
                <w:color w:val="0000FF"/>
              </w:rPr>
              <w:t>Chairman, CEO</w:t>
            </w: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5"/>
            <w:vMerge w:val="continue"/>
          </w:tcPr>
          <w:p>
            <w:pPr>
              <w:spacing w:after="0"/>
              <w:rPr>
                <w:sz w:val="6"/>
                <w:szCs w:val="6"/>
                <w:color w:val="auto"/>
              </w:rPr>
            </w:pPr>
          </w:p>
        </w:tc>
        <w:tc>
          <w:tcPr>
            <w:tcW w:w="10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02/12/2021</w:t>
            </w: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9"/>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9"/>
          </w:tcPr>
          <w:p>
            <w:pPr>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jc w:val="center"/>
              <w:ind w:righ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320"/>
              <w:spacing w:after="0" w:line="117"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00" w:type="dxa"/>
            <w:vAlign w:val="bottom"/>
          </w:tcPr>
          <w:p>
            <w:pPr>
              <w:ind w:left="1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286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620" w:type="dxa"/>
            <w:vAlign w:val="bottom"/>
          </w:tcPr>
          <w:p>
            <w:pPr>
              <w:ind w:left="280"/>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5"/>
                <w:szCs w:val="15"/>
                <w:color w:val="auto"/>
              </w:rPr>
            </w:pPr>
          </w:p>
        </w:tc>
        <w:tc>
          <w:tcPr>
            <w:tcW w:w="118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34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14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Ownership</w:t>
            </w: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40" w:type="dxa"/>
            <w:vAlign w:val="bottom"/>
          </w:tcPr>
          <w:p>
            <w:pPr>
              <w:spacing w:after="0"/>
              <w:rPr>
                <w:sz w:val="11"/>
                <w:szCs w:val="11"/>
                <w:color w:val="auto"/>
              </w:rPr>
            </w:pPr>
          </w:p>
        </w:tc>
        <w:tc>
          <w:tcPr>
            <w:tcW w:w="114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1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140" w:type="dxa"/>
            <w:vAlign w:val="bottom"/>
          </w:tcPr>
          <w:p>
            <w:pPr>
              <w:spacing w:after="0"/>
              <w:rPr>
                <w:sz w:val="11"/>
                <w:szCs w:val="11"/>
                <w:color w:val="auto"/>
              </w:rPr>
            </w:pP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1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40" w:type="dxa"/>
            <w:vAlign w:val="bottom"/>
          </w:tcPr>
          <w:p>
            <w:pPr>
              <w:spacing w:after="0"/>
              <w:rPr>
                <w:sz w:val="14"/>
                <w:szCs w:val="14"/>
                <w:color w:val="auto"/>
              </w:rPr>
            </w:pPr>
          </w:p>
        </w:tc>
        <w:tc>
          <w:tcPr>
            <w:tcW w:w="114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11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line="82" w:lineRule="exact"/>
              <w:rPr>
                <w:sz w:val="20"/>
                <w:szCs w:val="20"/>
                <w:color w:val="auto"/>
              </w:rPr>
            </w:pPr>
            <w:r>
              <w:rPr>
                <w:rFonts w:ascii="Arial" w:cs="Arial" w:eastAsia="Arial" w:hAnsi="Arial"/>
                <w:sz w:val="8"/>
                <w:szCs w:val="8"/>
                <w:b w:val="1"/>
                <w:bCs w:val="1"/>
                <w:color w:val="auto"/>
              </w:rPr>
              <w:t>Reported</w:t>
            </w:r>
          </w:p>
        </w:tc>
        <w:tc>
          <w:tcPr>
            <w:tcW w:w="140" w:type="dxa"/>
            <w:vAlign w:val="bottom"/>
          </w:tcPr>
          <w:p>
            <w:pPr>
              <w:spacing w:after="0"/>
              <w:rPr>
                <w:sz w:val="7"/>
                <w:szCs w:val="7"/>
                <w:color w:val="auto"/>
              </w:rPr>
            </w:pPr>
          </w:p>
        </w:tc>
        <w:tc>
          <w:tcPr>
            <w:tcW w:w="1140" w:type="dxa"/>
            <w:vAlign w:val="bottom"/>
            <w:gridSpan w:val="2"/>
          </w:tcPr>
          <w:p>
            <w:pPr>
              <w:ind w:left="280"/>
              <w:spacing w:after="0" w:line="82" w:lineRule="exact"/>
              <w:rPr>
                <w:sz w:val="20"/>
                <w:szCs w:val="20"/>
                <w:color w:val="auto"/>
              </w:rPr>
            </w:pPr>
            <w:r>
              <w:rPr>
                <w:rFonts w:ascii="Arial" w:cs="Arial" w:eastAsia="Arial" w:hAnsi="Arial"/>
                <w:sz w:val="8"/>
                <w:szCs w:val="8"/>
                <w:b w:val="1"/>
                <w:bCs w:val="1"/>
                <w:color w:val="auto"/>
              </w:rPr>
              <w:t>(Instr. 4)</w:t>
            </w: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6"/>
              </w:rPr>
              <w:t>Transaction(s)</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w w:val="97"/>
              </w:rPr>
              <w:t>(Instr. 3 and 4)</w:t>
            </w:r>
          </w:p>
        </w:tc>
        <w:tc>
          <w:tcPr>
            <w:tcW w:w="6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196.3334</w:t>
            </w:r>
            <w:r>
              <w:rPr>
                <w:rFonts w:ascii="Times New Roman" w:cs="Times New Roman" w:eastAsia="Times New Roman" w:hAnsi="Times New Roman"/>
                <w:sz w:val="22"/>
                <w:szCs w:val="22"/>
                <w:color w:val="008000"/>
                <w:w w:val="97"/>
                <w:vertAlign w:val="superscript"/>
              </w:rPr>
              <w:t>(2)</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02/12/2021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18"/>
                <w:szCs w:val="18"/>
                <w:color w:val="auto"/>
              </w:rPr>
            </w:pPr>
          </w:p>
        </w:tc>
        <w:tc>
          <w:tcPr>
            <w:tcW w:w="82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10,937</w:t>
            </w:r>
            <w:r>
              <w:rPr>
                <w:rFonts w:ascii="Times New Roman" w:cs="Times New Roman" w:eastAsia="Times New Roman" w:hAnsi="Times New Roman"/>
                <w:sz w:val="22"/>
                <w:szCs w:val="22"/>
                <w:color w:val="008000"/>
                <w:w w:val="93"/>
                <w:vertAlign w:val="superscript"/>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71"/>
              <w:spacing w:after="0"/>
              <w:rPr>
                <w:sz w:val="20"/>
                <w:szCs w:val="20"/>
                <w:color w:val="auto"/>
              </w:rPr>
            </w:pPr>
            <w:r>
              <w:rPr>
                <w:rFonts w:ascii="Times New Roman" w:cs="Times New Roman" w:eastAsia="Times New Roman" w:hAnsi="Times New Roman"/>
                <w:sz w:val="17"/>
                <w:szCs w:val="17"/>
                <w:color w:val="0000FF"/>
              </w:rPr>
              <w:t>40,183</w:t>
            </w:r>
          </w:p>
        </w:tc>
        <w:tc>
          <w:tcPr>
            <w:tcW w:w="620" w:type="dxa"/>
            <w:vAlign w:val="bottom"/>
          </w:tcPr>
          <w:p>
            <w:pPr>
              <w:spacing w:after="0"/>
              <w:rPr>
                <w:sz w:val="18"/>
                <w:szCs w:val="18"/>
                <w:color w:val="auto"/>
              </w:rPr>
            </w:pPr>
          </w:p>
        </w:tc>
        <w:tc>
          <w:tcPr>
            <w:tcW w:w="520" w:type="dxa"/>
            <w:vAlign w:val="bottom"/>
          </w:tcPr>
          <w:p>
            <w:pPr>
              <w:jc w:val="center"/>
              <w:ind w:right="385"/>
              <w:spacing w:after="0"/>
              <w:rPr>
                <w:sz w:val="20"/>
                <w:szCs w:val="20"/>
                <w:color w:val="auto"/>
              </w:rPr>
            </w:pPr>
            <w:r>
              <w:rPr>
                <w:rFonts w:ascii="Times New Roman" w:cs="Times New Roman" w:eastAsia="Times New Roman" w:hAnsi="Times New Roman"/>
                <w:sz w:val="17"/>
                <w:szCs w:val="17"/>
                <w:color w:val="0000FF"/>
              </w:rPr>
              <w:t>I</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Living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197.6729</w:t>
            </w:r>
            <w:r>
              <w:rPr>
                <w:rFonts w:ascii="Times New Roman" w:cs="Times New Roman" w:eastAsia="Times New Roman" w:hAnsi="Times New Roman"/>
                <w:sz w:val="22"/>
                <w:szCs w:val="22"/>
                <w:color w:val="008000"/>
                <w:w w:val="97"/>
                <w:vertAlign w:val="superscript"/>
              </w:rPr>
              <w:t>(3)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02/12/2021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18"/>
                <w:szCs w:val="18"/>
                <w:color w:val="auto"/>
              </w:rPr>
            </w:pPr>
          </w:p>
        </w:tc>
        <w:tc>
          <w:tcPr>
            <w:tcW w:w="82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2,742</w:t>
            </w:r>
            <w:r>
              <w:rPr>
                <w:rFonts w:ascii="Times New Roman" w:cs="Times New Roman" w:eastAsia="Times New Roman" w:hAnsi="Times New Roman"/>
                <w:sz w:val="22"/>
                <w:szCs w:val="22"/>
                <w:color w:val="008000"/>
                <w:w w:val="93"/>
                <w:vertAlign w:val="superscript"/>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71"/>
              <w:spacing w:after="0"/>
              <w:rPr>
                <w:sz w:val="20"/>
                <w:szCs w:val="20"/>
                <w:color w:val="auto"/>
              </w:rPr>
            </w:pPr>
            <w:r>
              <w:rPr>
                <w:rFonts w:ascii="Times New Roman" w:cs="Times New Roman" w:eastAsia="Times New Roman" w:hAnsi="Times New Roman"/>
                <w:sz w:val="17"/>
                <w:szCs w:val="17"/>
                <w:color w:val="0000FF"/>
              </w:rPr>
              <w:t>37,441</w:t>
            </w:r>
          </w:p>
        </w:tc>
        <w:tc>
          <w:tcPr>
            <w:tcW w:w="620" w:type="dxa"/>
            <w:vAlign w:val="bottom"/>
          </w:tcPr>
          <w:p>
            <w:pPr>
              <w:spacing w:after="0"/>
              <w:rPr>
                <w:sz w:val="18"/>
                <w:szCs w:val="18"/>
                <w:color w:val="auto"/>
              </w:rPr>
            </w:pPr>
          </w:p>
        </w:tc>
        <w:tc>
          <w:tcPr>
            <w:tcW w:w="520" w:type="dxa"/>
            <w:vAlign w:val="bottom"/>
          </w:tcPr>
          <w:p>
            <w:pPr>
              <w:jc w:val="center"/>
              <w:ind w:right="385"/>
              <w:spacing w:after="0"/>
              <w:rPr>
                <w:sz w:val="20"/>
                <w:szCs w:val="20"/>
                <w:color w:val="auto"/>
              </w:rPr>
            </w:pPr>
            <w:r>
              <w:rPr>
                <w:rFonts w:ascii="Times New Roman" w:cs="Times New Roman" w:eastAsia="Times New Roman" w:hAnsi="Times New Roman"/>
                <w:sz w:val="17"/>
                <w:szCs w:val="17"/>
                <w:color w:val="0000FF"/>
              </w:rPr>
              <w:t>I</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Living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02/12/2021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18"/>
                <w:szCs w:val="18"/>
                <w:color w:val="auto"/>
              </w:rPr>
            </w:pPr>
          </w:p>
        </w:tc>
        <w:tc>
          <w:tcPr>
            <w:tcW w:w="600" w:type="dxa"/>
            <w:vAlign w:val="bottom"/>
            <w:vMerge w:val="restart"/>
          </w:tcPr>
          <w:p>
            <w:pPr>
              <w:jc w:val="center"/>
              <w:ind w:left="127"/>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200</w:t>
            </w:r>
            <w:r>
              <w:rPr>
                <w:rFonts w:ascii="Times New Roman" w:cs="Times New Roman" w:eastAsia="Times New Roman" w:hAnsi="Times New Roman"/>
                <w:sz w:val="11"/>
                <w:szCs w:val="11"/>
                <w:color w:val="008000"/>
                <w:w w:val="85"/>
              </w:rPr>
              <w:t>(1)</w:t>
            </w:r>
          </w:p>
        </w:tc>
        <w:tc>
          <w:tcPr>
            <w:tcW w:w="220" w:type="dxa"/>
            <w:vAlign w:val="bottom"/>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restart"/>
          </w:tcPr>
          <w:p>
            <w:pPr>
              <w:jc w:val="center"/>
              <w:ind w:left="1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198.14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rPr>
              <w:t>37,241</w:t>
            </w:r>
          </w:p>
        </w:tc>
        <w:tc>
          <w:tcPr>
            <w:tcW w:w="620" w:type="dxa"/>
            <w:vAlign w:val="bottom"/>
          </w:tcPr>
          <w:p>
            <w:pPr>
              <w:spacing w:after="0"/>
              <w:rPr>
                <w:sz w:val="18"/>
                <w:szCs w:val="18"/>
                <w:color w:val="auto"/>
              </w:rPr>
            </w:pPr>
          </w:p>
        </w:tc>
        <w:tc>
          <w:tcPr>
            <w:tcW w:w="520" w:type="dxa"/>
            <w:vAlign w:val="bottom"/>
            <w:vMerge w:val="restart"/>
          </w:tcPr>
          <w:p>
            <w:pPr>
              <w:jc w:val="center"/>
              <w:ind w:right="385"/>
              <w:spacing w:after="0"/>
              <w:rPr>
                <w:sz w:val="20"/>
                <w:szCs w:val="20"/>
                <w:color w:val="auto"/>
              </w:rPr>
            </w:pPr>
            <w:r>
              <w:rPr>
                <w:rFonts w:ascii="Times New Roman" w:cs="Times New Roman" w:eastAsia="Times New Roman" w:hAnsi="Times New Roman"/>
                <w:sz w:val="17"/>
                <w:szCs w:val="17"/>
                <w:color w:val="0000FF"/>
              </w:rPr>
              <w:t>I</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Wendy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02/12/2021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18"/>
                <w:szCs w:val="1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21,870</w:t>
            </w:r>
            <w:r>
              <w:rPr>
                <w:rFonts w:ascii="Times New Roman" w:cs="Times New Roman" w:eastAsia="Times New Roman" w:hAnsi="Times New Roman"/>
                <w:sz w:val="22"/>
                <w:szCs w:val="22"/>
                <w:color w:val="008000"/>
                <w:w w:val="93"/>
                <w:vertAlign w:val="superscript"/>
              </w:rPr>
              <w:t>(1)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196.3345</w:t>
            </w:r>
            <w:r>
              <w:rPr>
                <w:rFonts w:ascii="Times New Roman" w:cs="Times New Roman" w:eastAsia="Times New Roman" w:hAnsi="Times New Roman"/>
                <w:sz w:val="22"/>
                <w:szCs w:val="22"/>
                <w:color w:val="008000"/>
                <w:w w:val="97"/>
                <w:vertAlign w:val="superscript"/>
              </w:rPr>
              <w:t>(5)</w:t>
            </w:r>
          </w:p>
        </w:tc>
        <w:tc>
          <w:tcPr>
            <w:tcW w:w="80" w:type="dxa"/>
            <w:vAlign w:val="bottom"/>
          </w:tcPr>
          <w:p>
            <w:pPr>
              <w:spacing w:after="0"/>
              <w:rPr>
                <w:sz w:val="18"/>
                <w:szCs w:val="18"/>
                <w:color w:val="auto"/>
              </w:rPr>
            </w:pPr>
          </w:p>
        </w:tc>
        <w:tc>
          <w:tcPr>
            <w:tcW w:w="820" w:type="dxa"/>
            <w:vAlign w:val="bottom"/>
            <w:gridSpan w:val="2"/>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rPr>
              <w:t>73,130</w:t>
            </w:r>
          </w:p>
        </w:tc>
        <w:tc>
          <w:tcPr>
            <w:tcW w:w="620" w:type="dxa"/>
            <w:vAlign w:val="bottom"/>
          </w:tcPr>
          <w:p>
            <w:pPr>
              <w:spacing w:after="0"/>
              <w:rPr>
                <w:sz w:val="18"/>
                <w:szCs w:val="18"/>
                <w:color w:val="auto"/>
              </w:rPr>
            </w:pPr>
          </w:p>
        </w:tc>
        <w:tc>
          <w:tcPr>
            <w:tcW w:w="520" w:type="dxa"/>
            <w:vAlign w:val="bottom"/>
            <w:vMerge w:val="restart"/>
          </w:tcPr>
          <w:p>
            <w:pPr>
              <w:jc w:val="center"/>
              <w:ind w:right="385"/>
              <w:spacing w:after="0"/>
              <w:rPr>
                <w:sz w:val="20"/>
                <w:szCs w:val="20"/>
                <w:color w:val="auto"/>
              </w:rPr>
            </w:pPr>
            <w:r>
              <w:rPr>
                <w:rFonts w:ascii="Times New Roman" w:cs="Times New Roman" w:eastAsia="Times New Roman" w:hAnsi="Times New Roman"/>
                <w:sz w:val="17"/>
                <w:szCs w:val="17"/>
                <w:color w:val="0000FF"/>
              </w:rPr>
              <w:t>I</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Jay Belzberg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2012 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Wendy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02/12/2021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18"/>
                <w:szCs w:val="1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1,579</w:t>
            </w:r>
            <w:r>
              <w:rPr>
                <w:rFonts w:ascii="Times New Roman" w:cs="Times New Roman" w:eastAsia="Times New Roman" w:hAnsi="Times New Roman"/>
                <w:sz w:val="22"/>
                <w:szCs w:val="22"/>
                <w:color w:val="008000"/>
                <w:w w:val="93"/>
                <w:vertAlign w:val="superscript"/>
              </w:rPr>
              <w:t>(1)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197.3682</w:t>
            </w:r>
            <w:r>
              <w:rPr>
                <w:rFonts w:ascii="Times New Roman" w:cs="Times New Roman" w:eastAsia="Times New Roman" w:hAnsi="Times New Roman"/>
                <w:sz w:val="22"/>
                <w:szCs w:val="22"/>
                <w:color w:val="008000"/>
                <w:w w:val="97"/>
                <w:vertAlign w:val="superscript"/>
              </w:rPr>
              <w:t>(6)</w:t>
            </w:r>
          </w:p>
        </w:tc>
        <w:tc>
          <w:tcPr>
            <w:tcW w:w="80" w:type="dxa"/>
            <w:vAlign w:val="bottom"/>
          </w:tcPr>
          <w:p>
            <w:pPr>
              <w:spacing w:after="0"/>
              <w:rPr>
                <w:sz w:val="18"/>
                <w:szCs w:val="18"/>
                <w:color w:val="auto"/>
              </w:rPr>
            </w:pPr>
          </w:p>
        </w:tc>
        <w:tc>
          <w:tcPr>
            <w:tcW w:w="820" w:type="dxa"/>
            <w:vAlign w:val="bottom"/>
            <w:gridSpan w:val="2"/>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rPr>
              <w:t>71,551</w:t>
            </w:r>
          </w:p>
        </w:tc>
        <w:tc>
          <w:tcPr>
            <w:tcW w:w="620" w:type="dxa"/>
            <w:vAlign w:val="bottom"/>
          </w:tcPr>
          <w:p>
            <w:pPr>
              <w:spacing w:after="0"/>
              <w:rPr>
                <w:sz w:val="18"/>
                <w:szCs w:val="18"/>
                <w:color w:val="auto"/>
              </w:rPr>
            </w:pPr>
          </w:p>
        </w:tc>
        <w:tc>
          <w:tcPr>
            <w:tcW w:w="520" w:type="dxa"/>
            <w:vAlign w:val="bottom"/>
            <w:vMerge w:val="restart"/>
          </w:tcPr>
          <w:p>
            <w:pPr>
              <w:jc w:val="center"/>
              <w:ind w:right="385"/>
              <w:spacing w:after="0"/>
              <w:rPr>
                <w:sz w:val="20"/>
                <w:szCs w:val="20"/>
                <w:color w:val="auto"/>
              </w:rPr>
            </w:pPr>
            <w:r>
              <w:rPr>
                <w:rFonts w:ascii="Times New Roman" w:cs="Times New Roman" w:eastAsia="Times New Roman" w:hAnsi="Times New Roman"/>
                <w:sz w:val="17"/>
                <w:szCs w:val="17"/>
                <w:color w:val="0000FF"/>
              </w:rPr>
              <w:t>I</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Jay Belzberg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2012 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71"/>
              <w:spacing w:after="0"/>
              <w:rPr>
                <w:sz w:val="20"/>
                <w:szCs w:val="20"/>
                <w:color w:val="auto"/>
              </w:rPr>
            </w:pPr>
            <w:r>
              <w:rPr>
                <w:rFonts w:ascii="Times New Roman" w:cs="Times New Roman" w:eastAsia="Times New Roman" w:hAnsi="Times New Roman"/>
                <w:sz w:val="17"/>
                <w:szCs w:val="17"/>
                <w:color w:val="0000FF"/>
              </w:rPr>
              <w:t>587,867</w:t>
            </w:r>
          </w:p>
        </w:tc>
        <w:tc>
          <w:tcPr>
            <w:tcW w:w="620" w:type="dxa"/>
            <w:vAlign w:val="bottom"/>
          </w:tcPr>
          <w:p>
            <w:pPr>
              <w:spacing w:after="0"/>
              <w:rPr>
                <w:sz w:val="18"/>
                <w:szCs w:val="18"/>
                <w:color w:val="auto"/>
              </w:rPr>
            </w:pPr>
          </w:p>
        </w:tc>
        <w:tc>
          <w:tcPr>
            <w:tcW w:w="520" w:type="dxa"/>
            <w:vAlign w:val="bottom"/>
          </w:tcPr>
          <w:p>
            <w:pPr>
              <w:jc w:val="center"/>
              <w:ind w:right="385"/>
              <w:spacing w:after="0"/>
              <w:rPr>
                <w:sz w:val="20"/>
                <w:szCs w:val="20"/>
                <w:color w:val="auto"/>
              </w:rPr>
            </w:pPr>
            <w:r>
              <w:rPr>
                <w:rFonts w:ascii="Times New Roman" w:cs="Times New Roman" w:eastAsia="Times New Roman" w:hAnsi="Times New Roman"/>
                <w:sz w:val="17"/>
                <w:szCs w:val="17"/>
                <w:color w:val="0000FF"/>
              </w:rPr>
              <w:t>I</w:t>
            </w: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6"/>
              </w:rPr>
              <w:t>Media</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9. Number of    10.</w:t>
            </w:r>
          </w:p>
        </w:tc>
        <w:tc>
          <w:tcPr>
            <w:tcW w:w="46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-6094095</wp:posOffset>
            </wp:positionV>
            <wp:extent cx="7031355" cy="6134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613473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are reported on separate lines due to the range of the sale price.</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$195.99 to $196.87,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$197.11 to $198.00,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37,241 shares of Common Stock held by the Zelnick/Belzberg Living Trust (such securities are indirectly held by Mr. Zelnick). Mr. Zelnick disclaims beneficial ownership of the securities held by the Zelnick/Belzberg Living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$196.00 to $196.90,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$197.11 to $197.53, inclusive. Upon request, the Reporting Person undertakes to provide</w:t>
      </w:r>
    </w:p>
    <w:p>
      <w:pPr>
        <w:sectPr>
          <w:pgSz w:w="11900" w:h="1686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full sale information regarding the number of shares sold at each price increment to the Commission, the Issuer or any security holder of the Issuer.</w:t>
      </w:r>
    </w:p>
    <w:p>
      <w:pPr>
        <w:spacing w:after="0" w:line="50" w:lineRule="exact"/>
        <w:rPr>
          <w:sz w:val="20"/>
          <w:szCs w:val="20"/>
          <w:color w:val="auto"/>
        </w:rPr>
      </w:pPr>
    </w:p>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71,551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right="40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587,867 restricted units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Strauss Zelnick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02/17/2021</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3489"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2021-02-17T16:04:50Z</dcterms:created>
  <dcterms:modified xsi:type="dcterms:W3CDTF">2021-02-17T16:04:50Z</dcterms:modified>
</cp:coreProperties>
</file>