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16,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46"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001-34003</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51-0350842</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80" w:space="720"/>
            <w:col w:w="3100"/>
          </w:cols>
          <w:pgMar w:left="320" w:top="646"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ectPr>
          <w:pgSz w:w="11900" w:h="16838" w:orient="portrait"/>
          <w:cols w:equalWidth="0" w:num="1">
            <w:col w:w="11240"/>
          </w:cols>
          <w:pgMar w:left="320" w:top="646" w:right="339" w:bottom="1440" w:gutter="0" w:footer="0" w:header="0"/>
          <w:type w:val="continuous"/>
        </w:sectPr>
      </w:pPr>
    </w:p>
    <w:p>
      <w:pPr>
        <w:spacing w:after="0" w:line="20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110 West 44th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4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536-2842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Former Name or Address, if changed since last report:  </w:t>
      </w:r>
      <w:r>
        <w:rPr>
          <w:rFonts w:ascii="Times New Roman" w:cs="Times New Roman" w:eastAsia="Times New Roman" w:hAnsi="Times New Roman"/>
          <w:sz w:val="18"/>
          <w:szCs w:val="18"/>
          <w:b w:val="1"/>
          <w:bCs w:val="1"/>
          <w:color w:val="auto"/>
        </w:rPr>
        <w:t>N/A</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80" w:firstLine="8"/>
        <w:spacing w:after="0" w:line="498" w:lineRule="auto"/>
        <w:tabs>
          <w:tab w:leader="none" w:pos="51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75"/>
        </w:trPr>
        <w:tc>
          <w:tcPr>
            <w:tcW w:w="3620" w:type="dxa"/>
            <w:vAlign w:val="bottom"/>
            <w:tcBorders>
              <w:bottom w:val="single" w:sz="8" w:color="auto"/>
            </w:tcBorders>
          </w:tcPr>
          <w:p>
            <w:pPr>
              <w:spacing w:after="0"/>
              <w:rPr>
                <w:sz w:val="15"/>
                <w:szCs w:val="15"/>
                <w:color w:val="auto"/>
              </w:rPr>
            </w:pPr>
          </w:p>
        </w:tc>
        <w:tc>
          <w:tcPr>
            <w:tcW w:w="220" w:type="dxa"/>
            <w:vAlign w:val="bottom"/>
            <w:vMerge w:val="restart"/>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00" w:type="dxa"/>
            <w:vAlign w:val="bottom"/>
            <w:vMerge w:val="restart"/>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22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TTWO</w:t>
            </w:r>
          </w:p>
        </w:tc>
        <w:tc>
          <w:tcPr>
            <w:tcW w:w="20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 w:name="page2"/>
    <w:bookmarkEnd w:id="1"/>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20" w:firstLine="495"/>
        <w:spacing w:after="0" w:line="289" w:lineRule="auto"/>
        <w:rPr>
          <w:sz w:val="20"/>
          <w:szCs w:val="20"/>
          <w:color w:val="auto"/>
        </w:rPr>
      </w:pPr>
      <w:r>
        <w:rPr>
          <w:rFonts w:ascii="Times New Roman" w:cs="Times New Roman" w:eastAsia="Times New Roman" w:hAnsi="Times New Roman"/>
          <w:sz w:val="17"/>
          <w:szCs w:val="17"/>
          <w:color w:val="auto"/>
        </w:rPr>
        <w:t>On September 16, 2020, the stockholders of Take-Two Interactive Software, Inc. (the “Company”) approved and adopted the Amended and Restated Take-Two Interactive Software, Inc. 2017 Stock Incentive Plan (the “Amended and Restated 2017 Plan”) at the Company’s annual meeting of stockholders (the “Annual Meeting”). Additional information regarding the results of the Company’s Annual Meeting is set forth below in this Report under Item 5.07.</w:t>
      </w:r>
    </w:p>
    <w:p>
      <w:pPr>
        <w:spacing w:after="0" w:line="158" w:lineRule="exact"/>
        <w:rPr>
          <w:sz w:val="20"/>
          <w:szCs w:val="20"/>
          <w:color w:val="auto"/>
        </w:rPr>
      </w:pPr>
    </w:p>
    <w:p>
      <w:pPr>
        <w:ind w:right="20" w:firstLine="495"/>
        <w:spacing w:after="0" w:line="261" w:lineRule="auto"/>
        <w:rPr>
          <w:sz w:val="20"/>
          <w:szCs w:val="20"/>
          <w:color w:val="auto"/>
        </w:rPr>
      </w:pPr>
      <w:r>
        <w:rPr>
          <w:rFonts w:ascii="Times New Roman" w:cs="Times New Roman" w:eastAsia="Times New Roman" w:hAnsi="Times New Roman"/>
          <w:sz w:val="18"/>
          <w:szCs w:val="18"/>
          <w:color w:val="auto"/>
        </w:rPr>
        <w:t>The Amended and Restated 2017 Plan increases the available shares reserved thereunder by 2,000,000 shares and makes certain updates to eliminate plan provisions that were included in order to allow the Company to grant awards that would qualify for the “performance-based” compensation for purposes of the exception to the deduction limitation under Section 162(m) of the Code prior to the repeal of such exception under the Tax Cuts and Jobs Act of 2017. Other than these changes, no other changes were made by the Amended and Restated 2017 Plan.</w:t>
      </w:r>
    </w:p>
    <w:p>
      <w:pPr>
        <w:spacing w:after="0" w:line="180" w:lineRule="exact"/>
        <w:rPr>
          <w:sz w:val="20"/>
          <w:szCs w:val="20"/>
          <w:color w:val="auto"/>
        </w:rPr>
      </w:pPr>
    </w:p>
    <w:p>
      <w:pPr>
        <w:ind w:firstLine="495"/>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foregoing description of the Amended and Restated 2017 Plan is qualified in its entirety by the full text of the Amended and Restated 2017 Plan, </w:t>
      </w:r>
      <w:hyperlink r:id="rId13">
        <w:r>
          <w:rPr>
            <w:rFonts w:ascii="Times New Roman" w:cs="Times New Roman" w:eastAsia="Times New Roman" w:hAnsi="Times New Roman"/>
            <w:sz w:val="18"/>
            <w:szCs w:val="18"/>
            <w:color w:val="auto"/>
          </w:rPr>
          <w:t xml:space="preserve">which is attached as </w:t>
        </w:r>
        <w:r>
          <w:rPr>
            <w:rFonts w:ascii="Times New Roman" w:cs="Times New Roman" w:eastAsia="Times New Roman" w:hAnsi="Times New Roman"/>
            <w:sz w:val="18"/>
            <w:szCs w:val="18"/>
            <w:u w:val="single" w:color="auto"/>
            <w:color w:val="0000EE"/>
          </w:rPr>
          <w:t>Annex B to the Company’s definitive proxy statement on Schedule 14A filed with the Securities and Exchange Commission on July</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24, 2020</w:t>
        </w:r>
        <w:r>
          <w:rPr>
            <w:rFonts w:ascii="Times New Roman" w:cs="Times New Roman" w:eastAsia="Times New Roman" w:hAnsi="Times New Roman"/>
            <w:sz w:val="18"/>
            <w:szCs w:val="18"/>
            <w:color w:val="000000"/>
          </w:rPr>
          <w:t>, and is incorporated by reference herein as Exhibits 10.1.</w:t>
        </w:r>
      </w:hyperlink>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0" w:firstLine="495"/>
        <w:spacing w:after="0" w:line="261" w:lineRule="auto"/>
        <w:rPr>
          <w:sz w:val="20"/>
          <w:szCs w:val="20"/>
          <w:color w:val="auto"/>
        </w:rPr>
      </w:pPr>
      <w:r>
        <w:rPr>
          <w:rFonts w:ascii="Times New Roman" w:cs="Times New Roman" w:eastAsia="Times New Roman" w:hAnsi="Times New Roman"/>
          <w:sz w:val="18"/>
          <w:szCs w:val="18"/>
          <w:color w:val="auto"/>
        </w:rPr>
        <w:t>On September 16, 2020, the Company held its Annual Meeting virtually via live audio-only webcast. As of the record date for the Annual Meeting, the Company had 114,338,764 shares of its common stock, par value $0.01 per share (the “Common Stock”), issued and outstanding. At the Annual Meeting, 100,707,432 shares of Common Stock were represented in person or by proxy. The following matters were submitted to a vote of the stockholders at the Annual Meeting.</w:t>
      </w:r>
    </w:p>
    <w:p>
      <w:pPr>
        <w:spacing w:after="0" w:line="180" w:lineRule="exact"/>
        <w:rPr>
          <w:sz w:val="20"/>
          <w:szCs w:val="20"/>
          <w:color w:val="auto"/>
        </w:rPr>
      </w:pPr>
    </w:p>
    <w:p>
      <w:pPr>
        <w:ind w:right="40" w:firstLine="503"/>
        <w:spacing w:after="0" w:line="282" w:lineRule="auto"/>
        <w:tabs>
          <w:tab w:leader="none" w:pos="12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regarding the election of the persons named below as directors for a term expiring at the annual meeting of stockholders in 2021 and until their respective successors have been duly elected and qualified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Strauss Zelnick</w:t>
            </w:r>
          </w:p>
        </w:tc>
        <w:tc>
          <w:tcPr>
            <w:tcW w:w="14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84,216,123</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7,106,756</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982,468</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8,402,085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Michael Dornemann</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87,096,380</w:t>
            </w:r>
          </w:p>
        </w:tc>
        <w:tc>
          <w:tcPr>
            <w:tcW w:w="2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4,761,200</w:t>
            </w:r>
          </w:p>
        </w:tc>
        <w:tc>
          <w:tcPr>
            <w:tcW w:w="22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447,767</w:t>
            </w:r>
          </w:p>
        </w:tc>
        <w:tc>
          <w:tcPr>
            <w:tcW w:w="220" w:type="dxa"/>
            <w:vAlign w:val="bottom"/>
          </w:tcPr>
          <w:p>
            <w:pPr>
              <w:spacing w:after="0"/>
              <w:rPr>
                <w:sz w:val="18"/>
                <w:szCs w:val="18"/>
                <w:color w:val="auto"/>
              </w:rPr>
            </w:pP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8,402,085</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Roland Hernandez</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89,858,185</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1,998,469</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448,693</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8,402,085</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 Moses</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85,371,144</w:t>
            </w:r>
          </w:p>
        </w:tc>
        <w:tc>
          <w:tcPr>
            <w:tcW w:w="2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6,485,948</w:t>
            </w:r>
          </w:p>
        </w:tc>
        <w:tc>
          <w:tcPr>
            <w:tcW w:w="22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448,255</w:t>
            </w:r>
          </w:p>
        </w:tc>
        <w:tc>
          <w:tcPr>
            <w:tcW w:w="220" w:type="dxa"/>
            <w:vAlign w:val="bottom"/>
          </w:tcPr>
          <w:p>
            <w:pPr>
              <w:spacing w:after="0"/>
              <w:rPr>
                <w:sz w:val="18"/>
                <w:szCs w:val="18"/>
                <w:color w:val="auto"/>
              </w:rPr>
            </w:pP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8,402,085</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Sheresky</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86,466,158</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5,390,583</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448,606</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8,402,085</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LaVerne Srinivasan</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91,797,572</w:t>
            </w:r>
          </w:p>
        </w:tc>
        <w:tc>
          <w:tcPr>
            <w:tcW w:w="240" w:type="dxa"/>
            <w:vAlign w:val="bottom"/>
          </w:tcPr>
          <w:p>
            <w:pPr>
              <w:spacing w:after="0"/>
              <w:rPr>
                <w:sz w:val="18"/>
                <w:szCs w:val="18"/>
                <w:color w:val="auto"/>
              </w:rPr>
            </w:pP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62,695</w:t>
            </w:r>
          </w:p>
        </w:tc>
        <w:tc>
          <w:tcPr>
            <w:tcW w:w="22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445,080</w:t>
            </w:r>
          </w:p>
        </w:tc>
        <w:tc>
          <w:tcPr>
            <w:tcW w:w="220" w:type="dxa"/>
            <w:vAlign w:val="bottom"/>
          </w:tcPr>
          <w:p>
            <w:pPr>
              <w:spacing w:after="0"/>
              <w:rPr>
                <w:sz w:val="18"/>
                <w:szCs w:val="18"/>
                <w:color w:val="auto"/>
              </w:rPr>
            </w:pP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8,402,085</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Tolson</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84,007,781</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7,852,961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444,605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8,402,085</w:t>
            </w:r>
          </w:p>
        </w:tc>
        <w:tc>
          <w:tcPr>
            <w:tcW w:w="100" w:type="dxa"/>
            <w:vAlign w:val="bottom"/>
            <w:shd w:val="clear" w:color="auto" w:fill="CCEEFF"/>
          </w:tcPr>
          <w:p>
            <w:pPr>
              <w:spacing w:after="0"/>
              <w:rPr>
                <w:sz w:val="18"/>
                <w:szCs w:val="18"/>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Paul Viera</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91,775,166</w:t>
            </w:r>
          </w:p>
        </w:tc>
        <w:tc>
          <w:tcPr>
            <w:tcW w:w="240" w:type="dxa"/>
            <w:vAlign w:val="bottom"/>
          </w:tcPr>
          <w:p>
            <w:pPr>
              <w:spacing w:after="0"/>
              <w:rPr>
                <w:sz w:val="20"/>
                <w:szCs w:val="20"/>
                <w:color w:val="auto"/>
              </w:rPr>
            </w:pP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81,869</w:t>
            </w:r>
          </w:p>
        </w:tc>
        <w:tc>
          <w:tcPr>
            <w:tcW w:w="220" w:type="dxa"/>
            <w:vAlign w:val="bottom"/>
          </w:tcPr>
          <w:p>
            <w:pPr>
              <w:spacing w:after="0"/>
              <w:rPr>
                <w:sz w:val="20"/>
                <w:szCs w:val="20"/>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448,312</w:t>
            </w:r>
          </w:p>
        </w:tc>
        <w:tc>
          <w:tcPr>
            <w:tcW w:w="220" w:type="dxa"/>
            <w:vAlign w:val="bottom"/>
          </w:tcPr>
          <w:p>
            <w:pPr>
              <w:spacing w:after="0"/>
              <w:rPr>
                <w:sz w:val="20"/>
                <w:szCs w:val="20"/>
                <w:color w:val="auto"/>
              </w:rPr>
            </w:pP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8,402,085</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600" w:firstLine="495"/>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foregoing persons were duly elected to serve as directors, for a term expiring at the annual meeting of stockholders in 2021 and until their respective successors have been duly elected and qualified.</w:t>
      </w:r>
    </w:p>
    <w:p>
      <w:pPr>
        <w:spacing w:after="0" w:line="162" w:lineRule="exact"/>
        <w:rPr>
          <w:sz w:val="20"/>
          <w:szCs w:val="20"/>
          <w:color w:val="auto"/>
        </w:rPr>
      </w:pPr>
    </w:p>
    <w:p>
      <w:pPr>
        <w:ind w:left="1220" w:hanging="717"/>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votes regarding the approval of the compensation of the named executive officers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6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3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3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85,740,834</w:t>
            </w:r>
          </w:p>
        </w:tc>
        <w:tc>
          <w:tcPr>
            <w:tcW w:w="3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6,085,133</w:t>
            </w:r>
          </w:p>
        </w:tc>
        <w:tc>
          <w:tcPr>
            <w:tcW w:w="3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479,380</w:t>
            </w:r>
          </w:p>
        </w:tc>
        <w:tc>
          <w:tcPr>
            <w:tcW w:w="2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8,402,085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420" w:firstLine="495"/>
        <w:spacing w:after="0" w:line="282" w:lineRule="auto"/>
        <w:rPr>
          <w:sz w:val="20"/>
          <w:szCs w:val="20"/>
          <w:color w:val="auto"/>
        </w:rPr>
      </w:pPr>
      <w:r>
        <w:rPr>
          <w:rFonts w:ascii="Times New Roman" w:cs="Times New Roman" w:eastAsia="Times New Roman" w:hAnsi="Times New Roman"/>
          <w:sz w:val="18"/>
          <w:szCs w:val="18"/>
          <w:color w:val="auto"/>
        </w:rPr>
        <w:t>Based on the advisory votes set forth above, the compensation of the named executive officers was duly approved, on an advisory basis, by our stockholders.</w:t>
      </w:r>
    </w:p>
    <w:p>
      <w:pPr>
        <w:spacing w:after="0" w:line="162" w:lineRule="exact"/>
        <w:rPr>
          <w:sz w:val="20"/>
          <w:szCs w:val="20"/>
          <w:color w:val="auto"/>
        </w:rPr>
      </w:pPr>
    </w:p>
    <w:p>
      <w:pPr>
        <w:ind w:left="1220" w:hanging="720"/>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regarding the approval of the adoption of the Amended and Restated 2017 Plan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6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3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3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82,152,565</w:t>
            </w:r>
          </w:p>
        </w:tc>
        <w:tc>
          <w:tcPr>
            <w:tcW w:w="3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9,685,667</w:t>
            </w:r>
          </w:p>
        </w:tc>
        <w:tc>
          <w:tcPr>
            <w:tcW w:w="3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467,115</w:t>
            </w:r>
          </w:p>
        </w:tc>
        <w:tc>
          <w:tcPr>
            <w:tcW w:w="2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8,402,085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Based on the votes set forth above, the Amended and Restated 2017 Plan was duly approved and adopted by our stockholders.</w:t>
      </w:r>
    </w:p>
    <w:p>
      <w:pPr>
        <w:spacing w:after="0" w:line="225" w:lineRule="exact"/>
        <w:rPr>
          <w:sz w:val="20"/>
          <w:szCs w:val="20"/>
          <w:color w:val="auto"/>
        </w:rPr>
      </w:pPr>
    </w:p>
    <w:p>
      <w:pPr>
        <w:ind w:right="100" w:firstLine="500"/>
        <w:spacing w:after="0" w:line="282" w:lineRule="auto"/>
        <w:tabs>
          <w:tab w:leader="none" w:pos="12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regarding ratification of the appointment of Ernst &amp; Young LLP as independent auditors of the Company to serve for the fiscal year ending March 31, 2021, were as follows: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6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3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3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96,805,485</w:t>
            </w:r>
          </w:p>
        </w:tc>
        <w:tc>
          <w:tcPr>
            <w:tcW w:w="3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3,425,785</w:t>
            </w:r>
          </w:p>
        </w:tc>
        <w:tc>
          <w:tcPr>
            <w:tcW w:w="3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476,162</w:t>
            </w:r>
          </w:p>
        </w:tc>
        <w:tc>
          <w:tcPr>
            <w:tcW w:w="2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460" w:firstLine="495"/>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appointment of Ernst &amp; Young LLP as independent auditors of the Company to serve for the fiscal year ending March 31, 2021 was duly ratified 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3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09"/>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8"/>
                <w:szCs w:val="18"/>
                <w:color w:val="auto"/>
              </w:rPr>
            </w:pPr>
          </w:p>
        </w:tc>
        <w:tc>
          <w:tcPr>
            <w:tcW w:w="38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237"/>
        </w:trPr>
        <w:tc>
          <w:tcPr>
            <w:tcW w:w="1140" w:type="dxa"/>
            <w:vAlign w:val="bottom"/>
          </w:tcPr>
          <w:p>
            <w:pPr>
              <w:jc w:val="right"/>
              <w:ind w:right="730"/>
              <w:spacing w:after="0"/>
              <w:rPr>
                <w:rFonts w:ascii="Times New Roman" w:cs="Times New Roman" w:eastAsia="Times New Roman" w:hAnsi="Times New Roman"/>
                <w:sz w:val="18"/>
                <w:szCs w:val="18"/>
                <w:u w:val="single" w:color="auto"/>
                <w:color w:val="0000EE"/>
                <w:w w:val="95"/>
              </w:rPr>
            </w:pPr>
            <w:hyperlink r:id="rId13">
              <w:r>
                <w:rPr>
                  <w:rFonts w:ascii="Times New Roman" w:cs="Times New Roman" w:eastAsia="Times New Roman" w:hAnsi="Times New Roman"/>
                  <w:sz w:val="18"/>
                  <w:szCs w:val="18"/>
                  <w:u w:val="single" w:color="auto"/>
                  <w:color w:val="0000EE"/>
                  <w:w w:val="95"/>
                </w:rPr>
                <w:t>10.1</w:t>
              </w:r>
            </w:hyperlink>
          </w:p>
        </w:tc>
        <w:tc>
          <w:tcPr>
            <w:tcW w:w="120" w:type="dxa"/>
            <w:vAlign w:val="bottom"/>
          </w:tcPr>
          <w:p>
            <w:pPr>
              <w:spacing w:after="0"/>
              <w:rPr>
                <w:sz w:val="20"/>
                <w:szCs w:val="20"/>
                <w:color w:val="auto"/>
              </w:rPr>
            </w:pPr>
          </w:p>
        </w:tc>
        <w:tc>
          <w:tcPr>
            <w:tcW w:w="32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13">
              <w:r>
                <w:rPr>
                  <w:rFonts w:ascii="Times New Roman" w:cs="Times New Roman" w:eastAsia="Times New Roman" w:hAnsi="Times New Roman"/>
                  <w:sz w:val="18"/>
                  <w:szCs w:val="18"/>
                  <w:color w:val="0000EE"/>
                  <w:w w:val="98"/>
                </w:rPr>
                <w:t>Amended and Restated Take-Two Interactive</w:t>
              </w:r>
            </w:hyperlink>
          </w:p>
        </w:tc>
        <w:tc>
          <w:tcPr>
            <w:tcW w:w="800" w:type="dxa"/>
            <w:vAlign w:val="bottom"/>
            <w:gridSpan w:val="2"/>
          </w:tcPr>
          <w:p>
            <w:pPr>
              <w:spacing w:after="0"/>
              <w:rPr>
                <w:sz w:val="20"/>
                <w:szCs w:val="20"/>
                <w:color w:val="auto"/>
              </w:rPr>
            </w:pPr>
          </w:p>
        </w:tc>
        <w:tc>
          <w:tcPr>
            <w:tcW w:w="1080" w:type="dxa"/>
            <w:vAlign w:val="bottom"/>
            <w:vMerge w:val="restart"/>
          </w:tcPr>
          <w:p>
            <w:pPr>
              <w:jc w:val="center"/>
              <w:ind w:left="17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DEF 14A</w:t>
              </w:r>
            </w:hyperlink>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vMerge w:val="restart"/>
          </w:tcPr>
          <w:p>
            <w:pPr>
              <w:jc w:val="center"/>
              <w:ind w:right="120"/>
              <w:spacing w:after="0"/>
              <w:rPr>
                <w:rFonts w:ascii="Times New Roman" w:cs="Times New Roman" w:eastAsia="Times New Roman" w:hAnsi="Times New Roman"/>
                <w:sz w:val="18"/>
                <w:szCs w:val="18"/>
                <w:u w:val="single" w:color="auto"/>
                <w:color w:val="0000EE"/>
                <w:w w:val="99"/>
              </w:rPr>
            </w:pPr>
            <w:hyperlink r:id="rId13">
              <w:r>
                <w:rPr>
                  <w:rFonts w:ascii="Times New Roman" w:cs="Times New Roman" w:eastAsia="Times New Roman" w:hAnsi="Times New Roman"/>
                  <w:sz w:val="18"/>
                  <w:szCs w:val="18"/>
                  <w:u w:val="single" w:color="auto"/>
                  <w:color w:val="0000EE"/>
                  <w:w w:val="99"/>
                </w:rPr>
                <w:t>B</w:t>
              </w:r>
            </w:hyperlink>
          </w:p>
        </w:tc>
        <w:tc>
          <w:tcPr>
            <w:tcW w:w="1560" w:type="dxa"/>
            <w:vAlign w:val="bottom"/>
            <w:gridSpan w:val="2"/>
            <w:vMerge w:val="restart"/>
          </w:tcPr>
          <w:p>
            <w:pPr>
              <w:jc w:val="center"/>
              <w:ind w:right="10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July 24, 2020</w:t>
              </w:r>
            </w:hyperlink>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140" w:type="dxa"/>
            <w:vAlign w:val="bottom"/>
          </w:tcPr>
          <w:p>
            <w:pPr>
              <w:spacing w:after="0"/>
              <w:rPr>
                <w:sz w:val="7"/>
                <w:szCs w:val="7"/>
                <w:color w:val="auto"/>
              </w:rPr>
            </w:pPr>
          </w:p>
        </w:tc>
        <w:tc>
          <w:tcPr>
            <w:tcW w:w="4180" w:type="dxa"/>
            <w:vAlign w:val="bottom"/>
            <w:gridSpan w:val="4"/>
            <w:vMerge w:val="restart"/>
          </w:tcPr>
          <w:p>
            <w:pPr>
              <w:ind w:left="12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Software, Inc. 2017 Stock Incentive Plan</w:t>
              </w:r>
            </w:hyperlink>
          </w:p>
        </w:tc>
        <w:tc>
          <w:tcPr>
            <w:tcW w:w="10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180" w:type="dxa"/>
            <w:vAlign w:val="bottom"/>
            <w:gridSpan w:val="4"/>
            <w:vMerge w:val="continue"/>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Breitman</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Breitman</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Americas</w:t>
            </w:r>
          </w:p>
        </w:tc>
      </w:tr>
      <w:tr>
        <w:trPr>
          <w:trHeight w:val="234"/>
        </w:trPr>
        <w:tc>
          <w:tcPr>
            <w:tcW w:w="7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&amp; Corporate Secretary</w:t>
            </w:r>
          </w:p>
        </w:tc>
      </w:tr>
    </w:tbl>
    <w:p>
      <w:pPr>
        <w:spacing w:after="0"/>
        <w:rPr>
          <w:sz w:val="20"/>
          <w:szCs w:val="20"/>
          <w:color w:val="auto"/>
        </w:rPr>
      </w:pPr>
      <w:r>
        <w:rPr>
          <w:rFonts w:ascii="Times New Roman" w:cs="Times New Roman" w:eastAsia="Times New Roman" w:hAnsi="Times New Roman"/>
          <w:sz w:val="18"/>
          <w:szCs w:val="18"/>
          <w:color w:val="auto"/>
        </w:rPr>
        <w:t>Date: September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3" Type="http://schemas.openxmlformats.org/officeDocument/2006/relationships/hyperlink" Target="https://www.sec.gov/Archives/edgar/data/946581/000119312520198591/d940734ddef14a.htm#tx940734_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2020-09-18T15:30:53Z</dcterms:created>
  <dcterms:modified xsi:type="dcterms:W3CDTF">2020-09-18T15:30:53Z</dcterms:modified>
</cp:coreProperties>
</file>