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40" w:type="dxa"/>
            <w:vAlign w:val="bottom"/>
            <w:vMerge w:val="restart"/>
          </w:tcPr>
          <w:p>
            <w:pPr>
              <w:spacing w:after="0" w:line="250"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Slatoff Karl</w:t>
              </w:r>
            </w:hyperlink>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2"/>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214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5"/>
                <w:szCs w:val="5"/>
                <w:color w:val="auto"/>
              </w:rPr>
            </w:pPr>
          </w:p>
        </w:tc>
        <w:tc>
          <w:tcPr>
            <w:tcW w:w="1040" w:type="dxa"/>
            <w:vAlign w:val="bottom"/>
            <w:tcBorders>
              <w:bottom w:val="single" w:sz="8" w:color="0000EE"/>
            </w:tcBorders>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5"/>
                <w:szCs w:val="5"/>
                <w:color w:val="auto"/>
              </w:rPr>
            </w:pPr>
          </w:p>
        </w:tc>
        <w:tc>
          <w:tcPr>
            <w:tcW w:w="162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Director</w:t>
            </w:r>
          </w:p>
        </w:tc>
        <w:tc>
          <w:tcPr>
            <w:tcW w:w="128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0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20" w:type="dxa"/>
            <w:vAlign w:val="bottom"/>
            <w:vMerge w:val="restart"/>
          </w:tcPr>
          <w:p>
            <w:pPr>
              <w:ind w:left="100"/>
              <w:spacing w:after="0" w:line="155" w:lineRule="exact"/>
              <w:rPr>
                <w:sz w:val="20"/>
                <w:szCs w:val="20"/>
                <w:color w:val="auto"/>
              </w:rPr>
            </w:pPr>
            <w:r>
              <w:rPr>
                <w:rFonts w:ascii="Arial" w:cs="Arial" w:eastAsia="Arial" w:hAnsi="Arial"/>
                <w:sz w:val="14"/>
                <w:szCs w:val="14"/>
                <w:color w:val="auto"/>
              </w:rPr>
              <w:t>Officer (give title</w:t>
            </w:r>
          </w:p>
        </w:tc>
        <w:tc>
          <w:tcPr>
            <w:tcW w:w="1280" w:type="dxa"/>
            <w:vAlign w:val="bottom"/>
            <w:vMerge w:val="restart"/>
          </w:tcPr>
          <w:p>
            <w:pPr>
              <w:ind w:left="12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5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040" w:type="dxa"/>
            <w:vAlign w:val="bottom"/>
            <w:tcBorders>
              <w:top w:val="single" w:sz="8" w:color="EEEEEE"/>
            </w:tcBorders>
          </w:tcPr>
          <w:p>
            <w:pPr>
              <w:spacing w:after="0"/>
              <w:rPr>
                <w:sz w:val="10"/>
                <w:szCs w:val="10"/>
                <w:color w:val="auto"/>
              </w:rPr>
            </w:pPr>
          </w:p>
        </w:tc>
        <w:tc>
          <w:tcPr>
            <w:tcW w:w="120" w:type="dxa"/>
            <w:vAlign w:val="bottom"/>
            <w:tcBorders>
              <w:top w:val="single" w:sz="8" w:color="EEEEEE"/>
            </w:tcBorders>
          </w:tcPr>
          <w:p>
            <w:pPr>
              <w:spacing w:after="0"/>
              <w:rPr>
                <w:sz w:val="10"/>
                <w:szCs w:val="10"/>
                <w:color w:val="auto"/>
              </w:rPr>
            </w:pPr>
          </w:p>
        </w:tc>
        <w:tc>
          <w:tcPr>
            <w:tcW w:w="1080" w:type="dxa"/>
            <w:vAlign w:val="bottom"/>
            <w:tcBorders>
              <w:top w:val="single" w:sz="8" w:color="EEEEEE"/>
            </w:tcBorders>
          </w:tcPr>
          <w:p>
            <w:pPr>
              <w:spacing w:after="0"/>
              <w:rPr>
                <w:sz w:val="10"/>
                <w:szCs w:val="10"/>
                <w:color w:val="auto"/>
              </w:rPr>
            </w:pPr>
          </w:p>
        </w:tc>
        <w:tc>
          <w:tcPr>
            <w:tcW w:w="15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62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1160" w:type="dxa"/>
            <w:vAlign w:val="bottom"/>
            <w:gridSpan w:val="2"/>
            <w:vMerge w:val="restart"/>
          </w:tcPr>
          <w:p>
            <w:pPr>
              <w:spacing w:after="0" w:line="104" w:lineRule="exact"/>
              <w:rPr>
                <w:sz w:val="20"/>
                <w:szCs w:val="20"/>
                <w:color w:val="auto"/>
              </w:rPr>
            </w:pPr>
            <w:r>
              <w:rPr>
                <w:rFonts w:ascii="Arial" w:cs="Arial" w:eastAsia="Arial" w:hAnsi="Arial"/>
                <w:sz w:val="12"/>
                <w:szCs w:val="12"/>
                <w:color w:val="auto"/>
              </w:rPr>
              <w:t>(Last)</w:t>
            </w:r>
          </w:p>
        </w:tc>
        <w:tc>
          <w:tcPr>
            <w:tcW w:w="1080" w:type="dxa"/>
            <w:vAlign w:val="bottom"/>
            <w:vMerge w:val="restart"/>
          </w:tcPr>
          <w:p>
            <w:pPr>
              <w:ind w:left="120"/>
              <w:spacing w:after="0" w:line="104" w:lineRule="exact"/>
              <w:rPr>
                <w:sz w:val="20"/>
                <w:szCs w:val="20"/>
                <w:color w:val="auto"/>
              </w:rPr>
            </w:pPr>
            <w:r>
              <w:rPr>
                <w:rFonts w:ascii="Arial" w:cs="Arial" w:eastAsia="Arial" w:hAnsi="Arial"/>
                <w:sz w:val="12"/>
                <w:szCs w:val="12"/>
                <w:color w:val="auto"/>
              </w:rPr>
              <w:t>(First)</w:t>
            </w:r>
          </w:p>
        </w:tc>
        <w:tc>
          <w:tcPr>
            <w:tcW w:w="1560" w:type="dxa"/>
            <w:vAlign w:val="bottom"/>
            <w:vMerge w:val="restart"/>
          </w:tcPr>
          <w:p>
            <w:pPr>
              <w:ind w:left="300"/>
              <w:spacing w:after="0" w:line="104" w:lineRule="exact"/>
              <w:rPr>
                <w:sz w:val="20"/>
                <w:szCs w:val="20"/>
                <w:color w:val="auto"/>
              </w:rPr>
            </w:pPr>
            <w:r>
              <w:rPr>
                <w:rFonts w:ascii="Arial" w:cs="Arial" w:eastAsia="Arial" w:hAnsi="Arial"/>
                <w:sz w:val="12"/>
                <w:szCs w:val="12"/>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vMerge w:val="restart"/>
          </w:tcPr>
          <w:p>
            <w:pPr>
              <w:ind w:left="880"/>
              <w:spacing w:after="0"/>
              <w:rPr>
                <w:sz w:val="20"/>
                <w:szCs w:val="20"/>
                <w:color w:val="auto"/>
              </w:rPr>
            </w:pPr>
            <w:r>
              <w:rPr>
                <w:rFonts w:ascii="Arial" w:cs="Arial" w:eastAsia="Arial" w:hAnsi="Arial"/>
                <w:sz w:val="18"/>
                <w:szCs w:val="18"/>
                <w:color w:val="0000FF"/>
                <w:w w:val="94"/>
              </w:rPr>
              <w:t>President</w:t>
            </w: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0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3940" w:type="dxa"/>
            <w:vAlign w:val="bottom"/>
            <w:gridSpan w:val="4"/>
            <w:vMerge w:val="restart"/>
          </w:tcPr>
          <w:p>
            <w:pPr>
              <w:ind w:left="160"/>
              <w:spacing w:after="0"/>
              <w:rPr>
                <w:sz w:val="20"/>
                <w:szCs w:val="20"/>
                <w:color w:val="auto"/>
              </w:rPr>
            </w:pPr>
            <w:r>
              <w:rPr>
                <w:rFonts w:ascii="Arial" w:cs="Arial" w:eastAsia="Arial" w:hAnsi="Arial"/>
                <w:sz w:val="18"/>
                <w:szCs w:val="18"/>
                <w:color w:val="0000FF"/>
              </w:rPr>
              <w:t>04/11/2018</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color w:val="0000FF"/>
              </w:rPr>
              <w:t>INC.</w:t>
            </w:r>
          </w:p>
        </w:tc>
        <w:tc>
          <w:tcPr>
            <w:tcW w:w="1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Arial" w:cs="Arial" w:eastAsia="Arial" w:hAnsi="Arial"/>
                <w:sz w:val="18"/>
                <w:szCs w:val="18"/>
                <w:color w:val="0000FF"/>
              </w:rPr>
              <w:t>110 WEST 44TH STREET</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3"/>
            <w:vMerge w:val="continue"/>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8060"/>
        <w:spacing w:after="0"/>
        <w:rPr>
          <w:sz w:val="20"/>
          <w:szCs w:val="20"/>
          <w:color w:val="auto"/>
        </w:rPr>
      </w:pPr>
      <w:r>
        <w:rPr>
          <w:rFonts w:ascii="Arial" w:cs="Arial" w:eastAsia="Arial" w:hAnsi="Arial"/>
          <w:sz w:val="14"/>
          <w:szCs w:val="14"/>
          <w:color w:val="auto"/>
        </w:rPr>
        <w:t>Line)</w:t>
      </w:r>
    </w:p>
    <w:p>
      <w:pPr>
        <w:sectPr>
          <w:pgSz w:w="11900" w:h="16838" w:orient="portrait"/>
          <w:cols w:equalWidth="0" w:num="1">
            <w:col w:w="11420"/>
          </w:cols>
          <w:pgMar w:left="240" w:top="226" w:right="239" w:bottom="1440" w:gutter="0" w:footer="0" w:header="0"/>
          <w:type w:val="continuous"/>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10036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4"/>
                <w:szCs w:val="14"/>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5"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(I) (Instr. 4)</w:t>
            </w:r>
          </w:p>
        </w:tc>
        <w:tc>
          <w:tcPr>
            <w:tcW w:w="26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7"/>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0000FF"/>
              </w:rPr>
              <w:t>By Zelnick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20"/>
              <w:spacing w:after="0"/>
              <w:rPr>
                <w:sz w:val="20"/>
                <w:szCs w:val="20"/>
                <w:color w:val="auto"/>
              </w:rPr>
            </w:pPr>
            <w:r>
              <w:rPr>
                <w:rFonts w:ascii="Arial" w:cs="Arial" w:eastAsia="Arial" w:hAnsi="Arial"/>
                <w:sz w:val="18"/>
                <w:szCs w:val="18"/>
                <w:color w:val="0000FF"/>
              </w:rPr>
              <w:t>04/11/2018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6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940" w:type="dxa"/>
            <w:vAlign w:val="bottom"/>
          </w:tcPr>
          <w:p>
            <w:pPr>
              <w:jc w:val="center"/>
              <w:ind w:right="92"/>
              <w:spacing w:after="0" w:line="217" w:lineRule="exact"/>
              <w:rPr>
                <w:sz w:val="20"/>
                <w:szCs w:val="20"/>
                <w:color w:val="auto"/>
              </w:rPr>
            </w:pPr>
            <w:r>
              <w:rPr>
                <w:rFonts w:ascii="Arial" w:cs="Arial" w:eastAsia="Arial" w:hAnsi="Arial"/>
                <w:sz w:val="18"/>
                <w:szCs w:val="18"/>
                <w:color w:val="0000FF"/>
              </w:rPr>
              <w:t>24,878</w:t>
            </w:r>
            <w:r>
              <w:rPr>
                <w:rFonts w:ascii="Arial" w:cs="Arial" w:eastAsia="Arial" w:hAnsi="Arial"/>
                <w:sz w:val="22"/>
                <w:szCs w:val="22"/>
                <w:color w:val="008000"/>
                <w:vertAlign w:val="superscript"/>
              </w:rPr>
              <w:t>(1)</w:t>
            </w:r>
          </w:p>
        </w:tc>
        <w:tc>
          <w:tcPr>
            <w:tcW w:w="500" w:type="dxa"/>
            <w:vAlign w:val="bottom"/>
          </w:tcPr>
          <w:p>
            <w:pPr>
              <w:ind w:left="120"/>
              <w:spacing w:after="0"/>
              <w:rPr>
                <w:sz w:val="20"/>
                <w:szCs w:val="20"/>
                <w:color w:val="auto"/>
              </w:rPr>
            </w:pPr>
            <w:r>
              <w:rPr>
                <w:rFonts w:ascii="Arial" w:cs="Arial" w:eastAsia="Arial" w:hAnsi="Arial"/>
                <w:sz w:val="18"/>
                <w:szCs w:val="18"/>
                <w:color w:val="0000FF"/>
              </w:rPr>
              <w:t>D</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18"/>
                <w:szCs w:val="18"/>
                <w:color w:val="auto"/>
              </w:rPr>
            </w:pPr>
          </w:p>
        </w:tc>
        <w:tc>
          <w:tcPr>
            <w:tcW w:w="1100" w:type="dxa"/>
            <w:vAlign w:val="bottom"/>
            <w:gridSpan w:val="3"/>
          </w:tcPr>
          <w:p>
            <w:pPr>
              <w:ind w:left="100"/>
              <w:spacing w:after="0" w:line="217" w:lineRule="exact"/>
              <w:rPr>
                <w:sz w:val="20"/>
                <w:szCs w:val="20"/>
                <w:color w:val="auto"/>
              </w:rPr>
            </w:pPr>
            <w:r>
              <w:rPr>
                <w:rFonts w:ascii="Arial" w:cs="Arial" w:eastAsia="Arial" w:hAnsi="Arial"/>
                <w:sz w:val="18"/>
                <w:szCs w:val="18"/>
                <w:color w:val="0000FF"/>
                <w:w w:val="97"/>
              </w:rPr>
              <w:t>229,282</w:t>
            </w:r>
            <w:r>
              <w:rPr>
                <w:rFonts w:ascii="Arial" w:cs="Arial" w:eastAsia="Arial" w:hAnsi="Arial"/>
                <w:sz w:val="22"/>
                <w:szCs w:val="22"/>
                <w:color w:val="008000"/>
                <w:w w:val="97"/>
                <w:vertAlign w:val="superscript"/>
              </w:rPr>
              <w:t>(1)(2)</w:t>
            </w:r>
          </w:p>
        </w:tc>
        <w:tc>
          <w:tcPr>
            <w:tcW w:w="700" w:type="dxa"/>
            <w:vAlign w:val="bottom"/>
          </w:tcPr>
          <w:p>
            <w:pPr>
              <w:ind w:left="44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0000FF"/>
                <w:w w:val="89"/>
              </w:rPr>
              <w:t>Media</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Corporation</w:t>
            </w:r>
            <w:r>
              <w:rPr>
                <w:rFonts w:ascii="Arial" w:cs="Arial" w:eastAsia="Arial" w:hAnsi="Arial"/>
                <w:sz w:val="22"/>
                <w:szCs w:val="22"/>
                <w:color w:val="008000"/>
                <w:w w:val="89"/>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0000FF"/>
              </w:rPr>
              <w:t>By Zelnick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20"/>
              <w:spacing w:after="0"/>
              <w:rPr>
                <w:sz w:val="20"/>
                <w:szCs w:val="20"/>
                <w:color w:val="auto"/>
              </w:rPr>
            </w:pPr>
            <w:r>
              <w:rPr>
                <w:rFonts w:ascii="Arial" w:cs="Arial" w:eastAsia="Arial" w:hAnsi="Arial"/>
                <w:sz w:val="18"/>
                <w:szCs w:val="18"/>
                <w:color w:val="0000FF"/>
              </w:rPr>
              <w:t>04/13/2018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A</w:t>
            </w:r>
          </w:p>
        </w:tc>
        <w:tc>
          <w:tcPr>
            <w:tcW w:w="940" w:type="dxa"/>
            <w:vAlign w:val="bottom"/>
          </w:tcPr>
          <w:p>
            <w:pPr>
              <w:jc w:val="center"/>
              <w:ind w:right="52"/>
              <w:spacing w:after="0" w:line="217" w:lineRule="exact"/>
              <w:rPr>
                <w:sz w:val="20"/>
                <w:szCs w:val="20"/>
                <w:color w:val="auto"/>
              </w:rPr>
            </w:pPr>
            <w:r>
              <w:rPr>
                <w:rFonts w:ascii="Arial" w:cs="Arial" w:eastAsia="Arial" w:hAnsi="Arial"/>
                <w:sz w:val="18"/>
                <w:szCs w:val="18"/>
                <w:color w:val="0000FF"/>
                <w:w w:val="93"/>
              </w:rPr>
              <w:t>296,256</w:t>
            </w:r>
            <w:r>
              <w:rPr>
                <w:rFonts w:ascii="Arial" w:cs="Arial" w:eastAsia="Arial" w:hAnsi="Arial"/>
                <w:sz w:val="22"/>
                <w:szCs w:val="22"/>
                <w:color w:val="008000"/>
                <w:w w:val="93"/>
                <w:vertAlign w:val="superscript"/>
              </w:rPr>
              <w:t>(3)</w:t>
            </w:r>
          </w:p>
        </w:tc>
        <w:tc>
          <w:tcPr>
            <w:tcW w:w="500" w:type="dxa"/>
            <w:vAlign w:val="bottom"/>
          </w:tcPr>
          <w:p>
            <w:pPr>
              <w:ind w:left="120"/>
              <w:spacing w:after="0"/>
              <w:rPr>
                <w:sz w:val="20"/>
                <w:szCs w:val="20"/>
                <w:color w:val="auto"/>
              </w:rPr>
            </w:pPr>
            <w:r>
              <w:rPr>
                <w:rFonts w:ascii="Arial" w:cs="Arial" w:eastAsia="Arial" w:hAnsi="Arial"/>
                <w:sz w:val="18"/>
                <w:szCs w:val="18"/>
                <w:color w:val="0000FF"/>
              </w:rPr>
              <w:t>A</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18"/>
                <w:szCs w:val="18"/>
                <w:color w:val="auto"/>
              </w:rPr>
            </w:pPr>
          </w:p>
        </w:tc>
        <w:tc>
          <w:tcPr>
            <w:tcW w:w="1100" w:type="dxa"/>
            <w:vAlign w:val="bottom"/>
            <w:gridSpan w:val="3"/>
          </w:tcPr>
          <w:p>
            <w:pPr>
              <w:ind w:left="100"/>
              <w:spacing w:after="0" w:line="217" w:lineRule="exact"/>
              <w:rPr>
                <w:sz w:val="20"/>
                <w:szCs w:val="20"/>
                <w:color w:val="auto"/>
              </w:rPr>
            </w:pPr>
            <w:r>
              <w:rPr>
                <w:rFonts w:ascii="Arial" w:cs="Arial" w:eastAsia="Arial" w:hAnsi="Arial"/>
                <w:sz w:val="18"/>
                <w:szCs w:val="18"/>
                <w:color w:val="0000FF"/>
                <w:w w:val="97"/>
              </w:rPr>
              <w:t>525,538</w:t>
            </w:r>
            <w:r>
              <w:rPr>
                <w:rFonts w:ascii="Arial" w:cs="Arial" w:eastAsia="Arial" w:hAnsi="Arial"/>
                <w:sz w:val="22"/>
                <w:szCs w:val="22"/>
                <w:color w:val="008000"/>
                <w:w w:val="97"/>
                <w:vertAlign w:val="superscript"/>
              </w:rPr>
              <w:t>(3)(4)</w:t>
            </w:r>
          </w:p>
        </w:tc>
        <w:tc>
          <w:tcPr>
            <w:tcW w:w="700" w:type="dxa"/>
            <w:vAlign w:val="bottom"/>
          </w:tcPr>
          <w:p>
            <w:pPr>
              <w:ind w:left="44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0000FF"/>
                <w:w w:val="89"/>
              </w:rPr>
              <w:t>Media</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0"/>
              </w:rPr>
              <w:t>Corporation</w:t>
            </w:r>
            <w:r>
              <w:rPr>
                <w:rFonts w:ascii="Arial" w:cs="Arial" w:eastAsia="Arial" w:hAnsi="Arial"/>
                <w:sz w:val="22"/>
                <w:szCs w:val="22"/>
                <w:color w:val="008000"/>
                <w:w w:val="90"/>
                <w:vertAlign w:val="superscript"/>
              </w:rPr>
              <w:t>(3)(4)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3"/>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5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April 11, 2018, ZelnickMedia Corporation ("ZelnickMedia") distributed a total of 24,878 shares of Common Stock to its employees, but none of which were distributed to Mr. Slatoff.</w:t>
      </w:r>
    </w:p>
    <w:p>
      <w:pPr>
        <w:spacing w:after="0" w:line="64" w:lineRule="exact"/>
        <w:rPr>
          <w:rFonts w:ascii="Arial" w:cs="Arial" w:eastAsia="Arial" w:hAnsi="Arial"/>
          <w:sz w:val="12"/>
          <w:szCs w:val="12"/>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229,282 restricted units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30" w:lineRule="exact"/>
        <w:rPr>
          <w:rFonts w:ascii="Arial" w:cs="Arial" w:eastAsia="Arial" w:hAnsi="Arial"/>
          <w:sz w:val="14"/>
          <w:szCs w:val="14"/>
          <w:color w:val="008000"/>
        </w:rPr>
      </w:pPr>
    </w:p>
    <w:p>
      <w:pPr>
        <w:ind w:left="40" w:right="2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grant of 296,256 restricted units to ZelnickMedia pursuant to the Restricted Unit Agreement entered into by ZelnickMedia and the Company on April 13, 2018. Includes 86,010 time-based restricted units that are scheduled to vest on April 13, 2020 and 210,246 performance-based restricted units that are scheduled to vest on April 13, 2020. Further information regarding the Restricted Unit Agreement and the restricted units, including the vesting schedule, is available in the Company's Registration Statement on Form S-3 filed with the Commission on April 13, 2018.</w:t>
      </w:r>
    </w:p>
    <w:p>
      <w:pPr>
        <w:spacing w:after="0" w:line="2" w:lineRule="exact"/>
        <w:rPr>
          <w:rFonts w:ascii="Arial" w:cs="Arial" w:eastAsia="Arial" w:hAnsi="Arial"/>
          <w:sz w:val="12"/>
          <w:szCs w:val="12"/>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525,538 restricted units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Karl Slatoff</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04/13/2018</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781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2019-12-23T20:23:54Z</dcterms:created>
  <dcterms:modified xsi:type="dcterms:W3CDTF">2019-12-23T20:23:54Z</dcterms:modified>
</cp:coreProperties>
</file>