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rPr>
                <w:rFonts w:ascii="Arial" w:cs="Arial" w:eastAsia="Arial" w:hAnsi="Arial"/>
                <w:sz w:val="21"/>
                <w:szCs w:val="21"/>
                <w:u w:val="single" w:color="auto"/>
                <w:color w:val="0000EE"/>
                <w:w w:val="98"/>
              </w:rPr>
            </w:pPr>
            <w:hyperlink r:id="rId13">
              <w:r>
                <w:rPr>
                  <w:rFonts w:ascii="Arial" w:cs="Arial" w:eastAsia="Arial" w:hAnsi="Arial"/>
                  <w:sz w:val="21"/>
                  <w:szCs w:val="21"/>
                  <w:u w:val="single" w:color="auto"/>
                  <w:color w:val="0000EE"/>
                  <w:w w:val="98"/>
                </w:rPr>
                <w:t>Moses Jon J</w:t>
              </w:r>
            </w:hyperlink>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7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60" w:type="dxa"/>
            <w:vAlign w:val="bottom"/>
            <w:gridSpan w:val="8"/>
            <w:vMerge w:val="continue"/>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1120" w:type="dxa"/>
            <w:vAlign w:val="bottom"/>
            <w:gridSpan w:val="2"/>
          </w:tcPr>
          <w:p>
            <w:pPr>
              <w:ind w:left="40"/>
              <w:spacing w:after="0" w:line="141" w:lineRule="exact"/>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line="141" w:lineRule="exact"/>
              <w:rPr>
                <w:sz w:val="20"/>
                <w:szCs w:val="20"/>
                <w:color w:val="auto"/>
              </w:rPr>
            </w:pPr>
            <w:r>
              <w:rPr>
                <w:rFonts w:ascii="Arial" w:cs="Arial" w:eastAsia="Arial" w:hAnsi="Arial"/>
                <w:sz w:val="13"/>
                <w:szCs w:val="13"/>
                <w:color w:val="auto"/>
              </w:rPr>
              <w:t>(Middle)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line="141" w:lineRule="exact"/>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08/11/2020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10"/>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300" w:type="dxa"/>
            <w:vAlign w:val="bottom"/>
          </w:tcPr>
          <w:p>
            <w:pPr>
              <w:ind w:left="40"/>
              <w:spacing w:after="0"/>
              <w:rPr>
                <w:sz w:val="20"/>
                <w:szCs w:val="20"/>
                <w:color w:val="auto"/>
              </w:rPr>
            </w:pPr>
            <w:r>
              <w:rPr>
                <w:rFonts w:ascii="Arial" w:cs="Arial" w:eastAsia="Arial" w:hAnsi="Arial"/>
                <w:sz w:val="17"/>
                <w:szCs w:val="17"/>
                <w:color w:val="0000FF"/>
              </w:rPr>
              <w:t>NY</w:t>
            </w:r>
          </w:p>
        </w:tc>
        <w:tc>
          <w:tcPr>
            <w:tcW w:w="82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10036</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08/11/2020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w w:val="94"/>
              </w:rPr>
              <w:t>318</w:t>
            </w:r>
            <w:r>
              <w:rPr>
                <w:rFonts w:ascii="Arial" w:cs="Arial" w:eastAsia="Arial" w:hAnsi="Arial"/>
                <w:sz w:val="22"/>
                <w:szCs w:val="22"/>
                <w:color w:val="008000"/>
                <w:w w:val="94"/>
                <w:vertAlign w:val="superscript"/>
              </w:rPr>
              <w:t>(1)</w:t>
            </w:r>
          </w:p>
        </w:tc>
        <w:tc>
          <w:tcPr>
            <w:tcW w:w="4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19,242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2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August 11, 2020; and (ii) the number of shares were determined based on the dollar value of the award and the average of the closing prices of the common stock on the ten trading days prior to August 11, 2020 (the "Pricing Date"), the fifth trading day following the filing of the Issuer's Quarterly Report on Form 10-Q.</w:t>
      </w:r>
    </w:p>
    <w:p>
      <w:pPr>
        <w:spacing w:after="0" w:line="22" w:lineRule="exact"/>
        <w:rPr>
          <w:sz w:val="20"/>
          <w:szCs w:val="20"/>
          <w:color w:val="auto"/>
        </w:rPr>
      </w:pPr>
    </w:p>
    <w:tbl>
      <w:tblPr>
        <w:tblLayout w:type="fixed"/>
        <w:tblInd w:w="658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Aaron Diamond, attorney-</w:t>
            </w:r>
          </w:p>
        </w:tc>
        <w:tc>
          <w:tcPr>
            <w:tcW w:w="80" w:type="dxa"/>
            <w:vAlign w:val="bottom"/>
          </w:tcPr>
          <w:p>
            <w:pPr>
              <w:spacing w:after="0"/>
              <w:rPr>
                <w:sz w:val="18"/>
                <w:szCs w:val="18"/>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08/12/2020</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 for Mr. Jon J. Moses</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920" w:type="dxa"/>
            <w:vAlign w:val="bottom"/>
            <w:shd w:val="clear" w:color="auto" w:fill="000000"/>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395704"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2020-08-12T17:14:41Z</dcterms:created>
  <dcterms:modified xsi:type="dcterms:W3CDTF">2020-08-12T17:14:41Z</dcterms:modified>
</cp:coreProperties>
</file>