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Viera Paul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7"/>
        <w:gridCol w:w="931"/>
        <w:gridCol w:w="798"/>
        <w:gridCol w:w="618"/>
        <w:gridCol w:w="349"/>
        <w:gridCol w:w="885"/>
        <w:gridCol w:w="440"/>
        <w:gridCol w:w="608"/>
        <w:gridCol w:w="1152"/>
        <w:gridCol w:w="994"/>
        <w:gridCol w:w="12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1,229</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Earnest Institutional LLC</w:t>
            </w:r>
            <w:r>
              <w:rPr>
                <w:rFonts w:ascii="Times;serif" w:hAnsi="Times;serif"/>
                <w:color w:val="008000"/>
                <w:position w:val="7"/>
                <w:sz w:val="16"/>
                <w:sz w:val="20"/>
                <w:shd w:fill="FFFFFF" w:val="clear"/>
              </w:rPr>
              <w:t>(2)</w:t>
            </w:r>
          </w:p>
        </w:tc>
      </w:tr>
      <w:tr>
        <w:trPr/>
        <w:tc>
          <w:tcPr>
            <w:tcW w:w="21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PEV Revocable Living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(i) an annual award of 1,126 shares of restricted common stock granted to non-employee directors under the Issuer's Amended and Restated Take-Two Interactive Software, Inc. 2017 Stock Incentive Plan (the "Plan") and (ii) 103 shares of common stock granted in lieu of the quarterly non-employee director cash retainer and applicable committee fees at the election of the Reporting Person, which shares were fully vested upon grant. The annual award shares are scheduled to vest on October 1, 2027,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75,000 shares of Common Stock held by The PEV Revocable Living Trust (such securities are indirectly held by Mr. Viera).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Paul Viera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087"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4096</Characters>
  <CharactersWithSpaces>4780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