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222885</wp:posOffset>
            </wp:positionV>
            <wp:extent cx="71354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256540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 2021</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TAKE-TWO INTERACTIVE SOFTWARE, INC.</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639" w:right="479" w:bottom="1440" w:gutter="0" w:footer="0" w:header="0"/>
        </w:sectPr>
      </w:pPr>
    </w:p>
    <w:p>
      <w:pPr>
        <w:spacing w:after="0" w:line="221"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001-34003</w:t>
      </w:r>
    </w:p>
    <w:p>
      <w:pPr>
        <w:spacing w:after="0" w:line="22"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(Commission</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51-0350842</w:t>
      </w:r>
    </w:p>
    <w:p>
      <w:pPr>
        <w:spacing w:after="0" w:line="22"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4"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Identification No.)</w:t>
      </w:r>
    </w:p>
    <w:p>
      <w:pPr>
        <w:spacing w:after="0" w:line="219" w:lineRule="exact"/>
        <w:rPr>
          <w:sz w:val="24"/>
          <w:szCs w:val="24"/>
          <w:color w:val="auto"/>
        </w:rPr>
      </w:pPr>
    </w:p>
    <w:p>
      <w:pPr>
        <w:sectPr>
          <w:pgSz w:w="11900" w:h="16838" w:orient="portrait"/>
          <w:cols w:equalWidth="0" w:num="3">
            <w:col w:w="4440" w:space="720"/>
            <w:col w:w="2860" w:space="720"/>
            <w:col w:w="2360"/>
          </w:cols>
          <w:pgMar w:left="320" w:top="639" w:right="479" w:bottom="1440" w:gutter="0" w:footer="0" w:header="0"/>
          <w:type w:val="continuous"/>
        </w:sectPr>
      </w:pPr>
    </w:p>
    <w:p>
      <w:pPr>
        <w:jc w:val="center"/>
        <w:ind w:right="1620"/>
        <w:spacing w:after="0"/>
        <w:rPr>
          <w:sz w:val="20"/>
          <w:szCs w:val="20"/>
          <w:color w:val="auto"/>
        </w:rPr>
      </w:pPr>
      <w:r>
        <w:rPr>
          <w:rFonts w:ascii="Arial" w:cs="Arial" w:eastAsia="Arial" w:hAnsi="Arial"/>
          <w:sz w:val="15"/>
          <w:szCs w:val="15"/>
          <w:b w:val="1"/>
          <w:bCs w:val="1"/>
          <w:color w:val="auto"/>
        </w:rPr>
        <w:t>110 West 44th Street, New York, New York</w:t>
      </w:r>
    </w:p>
    <w:p>
      <w:pPr>
        <w:spacing w:after="0" w:line="56"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10036</w:t>
      </w:r>
    </w:p>
    <w:p>
      <w:pPr>
        <w:spacing w:after="0" w:line="22"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19" w:lineRule="exact"/>
        <w:rPr>
          <w:sz w:val="24"/>
          <w:szCs w:val="24"/>
          <w:color w:val="auto"/>
        </w:rPr>
      </w:pPr>
    </w:p>
    <w:p>
      <w:pPr>
        <w:sectPr>
          <w:pgSz w:w="11900" w:h="16838" w:orient="portrait"/>
          <w:cols w:equalWidth="0" w:num="2">
            <w:col w:w="7380" w:space="720"/>
            <w:col w:w="3000"/>
          </w:cols>
          <w:pgMar w:left="320" w:top="639" w:right="479" w:bottom="1440" w:gutter="0" w:footer="0" w:header="0"/>
          <w:type w:val="continuous"/>
        </w:sect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5"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1"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right="3040" w:firstLine="6"/>
        <w:spacing w:after="0" w:line="485" w:lineRule="auto"/>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580" w:type="dxa"/>
        <w:tblCellMar>
          <w:top w:w="0" w:type="dxa"/>
          <w:left w:w="0" w:type="dxa"/>
          <w:bottom w:w="0" w:type="dxa"/>
          <w:right w:w="0" w:type="dxa"/>
        </w:tblCellMar>
      </w:tblPr>
      <w:tr>
        <w:trPr>
          <w:trHeight w:val="229"/>
        </w:trPr>
        <w:tc>
          <w:tcPr>
            <w:tcW w:w="3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Title of each class</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Trading Symbol</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16"/>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w:t>
            </w:r>
          </w:p>
        </w:tc>
        <w:tc>
          <w:tcPr>
            <w:tcW w:w="12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8"/>
                <w:szCs w:val="18"/>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wp:posOffset>
            </wp:positionV>
            <wp:extent cx="713549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481965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100"/>
          </w:cols>
          <w:pgMar w:left="320" w:top="639" w:right="47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1" w:lineRule="exact"/>
        <w:rPr>
          <w:sz w:val="20"/>
          <w:szCs w:val="20"/>
          <w:color w:val="auto"/>
        </w:rPr>
      </w:pPr>
    </w:p>
    <w:p>
      <w:pPr>
        <w:ind w:right="100" w:firstLine="633"/>
        <w:spacing w:after="0" w:line="253" w:lineRule="auto"/>
        <w:rPr>
          <w:sz w:val="20"/>
          <w:szCs w:val="20"/>
          <w:color w:val="auto"/>
        </w:rPr>
      </w:pPr>
      <w:r>
        <w:rPr>
          <w:rFonts w:ascii="Arial" w:cs="Arial" w:eastAsia="Arial" w:hAnsi="Arial"/>
          <w:sz w:val="18"/>
          <w:szCs w:val="18"/>
          <w:color w:val="auto"/>
        </w:rPr>
        <w:t>On August 2, 2021, Take-Two Interactive Software, Inc. (the “Company”) issued a press release announcing the financial results of the Company for its first fiscal quarter ended June 30, 2021. A copy of the press release is attached to this Current Report as Exhibit 99.1 and is incorporated by reference herein.</w:t>
      </w:r>
    </w:p>
    <w:p>
      <w:pPr>
        <w:spacing w:after="0" w:line="190" w:lineRule="exact"/>
        <w:rPr>
          <w:sz w:val="20"/>
          <w:szCs w:val="20"/>
          <w:color w:val="auto"/>
        </w:rPr>
      </w:pPr>
    </w:p>
    <w:p>
      <w:pPr>
        <w:ind w:firstLine="633"/>
        <w:spacing w:after="0" w:line="287" w:lineRule="auto"/>
        <w:rPr>
          <w:sz w:val="20"/>
          <w:szCs w:val="20"/>
          <w:color w:val="auto"/>
        </w:rPr>
      </w:pPr>
      <w:r>
        <w:rPr>
          <w:rFonts w:ascii="Arial" w:cs="Arial" w:eastAsia="Arial" w:hAnsi="Arial"/>
          <w:sz w:val="16"/>
          <w:szCs w:val="16"/>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6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1" w:lineRule="exact"/>
        <w:rPr>
          <w:sz w:val="20"/>
          <w:szCs w:val="20"/>
          <w:color w:val="auto"/>
        </w:rPr>
      </w:pPr>
    </w:p>
    <w:p>
      <w:pPr>
        <w:ind w:left="1900" w:hanging="628"/>
        <w:spacing w:after="0"/>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5" w:lineRule="exact"/>
        <w:rPr>
          <w:sz w:val="20"/>
          <w:szCs w:val="20"/>
          <w:color w:val="auto"/>
        </w:rPr>
      </w:pPr>
    </w:p>
    <w:p>
      <w:pPr>
        <w:ind w:left="1900" w:right="440" w:hanging="632"/>
        <w:spacing w:after="0" w:line="251" w:lineRule="auto"/>
        <w:tabs>
          <w:tab w:leader="none" w:pos="188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Press Release dated August 2, 2021 relating to Take-Two Interactive Software, Inc.’s financial results for its first fiscal quarter</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ended June 30, 2021.</w:t>
        </w:r>
      </w:hyperlink>
    </w:p>
    <w:p>
      <w:pPr>
        <w:spacing w:after="0" w:line="1" w:lineRule="exact"/>
        <w:rPr>
          <w:rFonts w:ascii="Arial" w:cs="Arial" w:eastAsia="Arial" w:hAnsi="Arial"/>
          <w:sz w:val="18"/>
          <w:szCs w:val="18"/>
          <w:u w:val="single" w:color="auto"/>
          <w:color w:val="0000EE"/>
        </w:rPr>
      </w:pPr>
    </w:p>
    <w:p>
      <w:pPr>
        <w:ind w:left="5560" w:right="3680" w:hanging="4288"/>
        <w:spacing w:after="0" w:line="738" w:lineRule="auto"/>
        <w:tabs>
          <w:tab w:leader="none" w:pos="190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color w:val="auto"/>
        </w:rPr>
        <w:t>SIGNATURES</w:t>
      </w:r>
    </w:p>
    <w:p>
      <w:pPr>
        <w:spacing w:after="0" w:line="215"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TAKE-TWO INTERACTIVE SOFTWARE, INC.</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7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738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Matthew Breitman</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Senior Vice President, General Counsel Americas &amp; Corporate</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740"/>
          </w:cols>
          <w:pgMar w:left="320" w:top="892"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996315" cy="837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6315" cy="83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CONTACT:</w:t>
            </w:r>
          </w:p>
        </w:tc>
        <w:tc>
          <w:tcPr>
            <w:tcW w:w="3720" w:type="dxa"/>
            <w:vAlign w:val="bottom"/>
          </w:tcPr>
          <w:p>
            <w:pPr>
              <w:ind w:left="500"/>
              <w:spacing w:after="0"/>
              <w:rPr>
                <w:sz w:val="20"/>
                <w:szCs w:val="20"/>
                <w:color w:val="auto"/>
              </w:rPr>
            </w:pPr>
            <w:r>
              <w:rPr>
                <w:rFonts w:ascii="Arial" w:cs="Arial" w:eastAsia="Arial" w:hAnsi="Arial"/>
                <w:sz w:val="18"/>
                <w:szCs w:val="18"/>
                <w:color w:val="auto"/>
              </w:rPr>
              <w:t>FOR IMMEDIATE RELEASE</w:t>
            </w:r>
          </w:p>
        </w:tc>
        <w:tc>
          <w:tcPr>
            <w:tcW w:w="0" w:type="dxa"/>
            <w:vAlign w:val="bottom"/>
          </w:tcPr>
          <w:p>
            <w:pPr>
              <w:spacing w:after="0"/>
              <w:rPr>
                <w:sz w:val="1"/>
                <w:szCs w:val="1"/>
                <w:color w:val="auto"/>
              </w:rPr>
            </w:pPr>
          </w:p>
        </w:tc>
      </w:tr>
      <w:tr>
        <w:trPr>
          <w:trHeight w:val="211"/>
        </w:trPr>
        <w:tc>
          <w:tcPr>
            <w:tcW w:w="3940" w:type="dxa"/>
            <w:vAlign w:val="bottom"/>
            <w:vMerge w:val="continue"/>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0"/>
                <w:szCs w:val="20"/>
                <w:color w:val="auto"/>
              </w:rPr>
            </w:pPr>
            <w:r>
              <w:rPr>
                <w:rFonts w:ascii="Arial" w:cs="Arial" w:eastAsia="Arial" w:hAnsi="Arial"/>
                <w:sz w:val="18"/>
                <w:szCs w:val="18"/>
                <w:color w:val="auto"/>
              </w:rPr>
              <w:t>(Investor Relations)</w:t>
            </w:r>
          </w:p>
        </w:tc>
        <w:tc>
          <w:tcPr>
            <w:tcW w:w="3720" w:type="dxa"/>
            <w:vAlign w:val="bottom"/>
          </w:tcPr>
          <w:p>
            <w:pPr>
              <w:ind w:left="560"/>
              <w:spacing w:after="0"/>
              <w:rPr>
                <w:sz w:val="20"/>
                <w:szCs w:val="20"/>
                <w:color w:val="auto"/>
              </w:rPr>
            </w:pPr>
            <w:r>
              <w:rPr>
                <w:rFonts w:ascii="Arial" w:cs="Arial" w:eastAsia="Arial" w:hAnsi="Arial"/>
                <w:sz w:val="18"/>
                <w:szCs w:val="18"/>
                <w:color w:val="auto"/>
              </w:rPr>
              <w:t>(Corporate Press)</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Nicole Shevins</w:t>
            </w:r>
          </w:p>
        </w:tc>
        <w:tc>
          <w:tcPr>
            <w:tcW w:w="3720" w:type="dxa"/>
            <w:vAlign w:val="bottom"/>
          </w:tcPr>
          <w:p>
            <w:pPr>
              <w:ind w:left="560"/>
              <w:spacing w:after="0"/>
              <w:rPr>
                <w:sz w:val="20"/>
                <w:szCs w:val="20"/>
                <w:color w:val="auto"/>
              </w:rPr>
            </w:pPr>
            <w:r>
              <w:rPr>
                <w:rFonts w:ascii="Arial" w:cs="Arial" w:eastAsia="Arial" w:hAnsi="Arial"/>
                <w:sz w:val="18"/>
                <w:szCs w:val="18"/>
                <w:color w:val="auto"/>
              </w:rPr>
              <w:t>Alan Lewis</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Senior Vice President</w:t>
            </w:r>
          </w:p>
        </w:tc>
        <w:tc>
          <w:tcPr>
            <w:tcW w:w="3720" w:type="dxa"/>
            <w:vAlign w:val="bottom"/>
          </w:tcPr>
          <w:p>
            <w:pPr>
              <w:ind w:left="5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05"/>
        </w:trPr>
        <w:tc>
          <w:tcPr>
            <w:tcW w:w="3940" w:type="dxa"/>
            <w:vAlign w:val="bottom"/>
          </w:tcPr>
          <w:p>
            <w:pPr>
              <w:spacing w:after="0" w:line="205" w:lineRule="exact"/>
              <w:rPr>
                <w:sz w:val="20"/>
                <w:szCs w:val="20"/>
                <w:color w:val="auto"/>
              </w:rPr>
            </w:pPr>
            <w:r>
              <w:rPr>
                <w:rFonts w:ascii="Arial" w:cs="Arial" w:eastAsia="Arial" w:hAnsi="Arial"/>
                <w:sz w:val="18"/>
                <w:szCs w:val="18"/>
                <w:color w:val="auto"/>
              </w:rPr>
              <w:t>Investor Relations &amp; Corporate Communications</w:t>
            </w:r>
          </w:p>
        </w:tc>
        <w:tc>
          <w:tcPr>
            <w:tcW w:w="3720" w:type="dxa"/>
            <w:vAlign w:val="bottom"/>
          </w:tcPr>
          <w:p>
            <w:pPr>
              <w:ind w:left="560"/>
              <w:spacing w:after="0" w:line="205" w:lineRule="exact"/>
              <w:rPr>
                <w:sz w:val="20"/>
                <w:szCs w:val="20"/>
                <w:color w:val="auto"/>
              </w:rPr>
            </w:pPr>
            <w:r>
              <w:rPr>
                <w:rFonts w:ascii="Arial" w:cs="Arial" w:eastAsia="Arial" w:hAnsi="Arial"/>
                <w:sz w:val="18"/>
                <w:szCs w:val="18"/>
                <w:color w:val="auto"/>
                <w:w w:val="90"/>
              </w:rPr>
              <w:t>Corporate Communications &amp; Public Affairs</w:t>
            </w: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3720" w:type="dxa"/>
            <w:vAlign w:val="bottom"/>
          </w:tcPr>
          <w:p>
            <w:pPr>
              <w:ind w:left="560"/>
              <w:spacing w:after="0"/>
              <w:rPr>
                <w:sz w:val="20"/>
                <w:szCs w:val="20"/>
                <w:color w:val="auto"/>
              </w:rPr>
            </w:pPr>
            <w:r>
              <w:rPr>
                <w:rFonts w:ascii="Arial" w:cs="Arial" w:eastAsia="Arial" w:hAnsi="Arial"/>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(646) 536-3005</w:t>
            </w:r>
          </w:p>
        </w:tc>
        <w:tc>
          <w:tcPr>
            <w:tcW w:w="3720" w:type="dxa"/>
            <w:vAlign w:val="bottom"/>
          </w:tcPr>
          <w:p>
            <w:pPr>
              <w:ind w:left="560"/>
              <w:spacing w:after="0"/>
              <w:rPr>
                <w:sz w:val="20"/>
                <w:szCs w:val="20"/>
                <w:color w:val="auto"/>
              </w:rPr>
            </w:pPr>
            <w:r>
              <w:rPr>
                <w:rFonts w:ascii="Arial" w:cs="Arial" w:eastAsia="Arial" w:hAnsi="Arial"/>
                <w:sz w:val="18"/>
                <w:szCs w:val="18"/>
                <w:color w:val="auto"/>
              </w:rPr>
              <w:t>(646) 536-2983</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Nicole.Shevins@take2games.com</w:t>
            </w:r>
          </w:p>
        </w:tc>
        <w:tc>
          <w:tcPr>
            <w:tcW w:w="3720" w:type="dxa"/>
            <w:vAlign w:val="bottom"/>
          </w:tcPr>
          <w:p>
            <w:pPr>
              <w:ind w:left="560"/>
              <w:spacing w:after="0"/>
              <w:rPr>
                <w:sz w:val="20"/>
                <w:szCs w:val="20"/>
                <w:color w:val="auto"/>
              </w:rPr>
            </w:pPr>
            <w:r>
              <w:rPr>
                <w:rFonts w:ascii="Arial" w:cs="Arial" w:eastAsia="Arial" w:hAnsi="Arial"/>
                <w:sz w:val="18"/>
                <w:szCs w:val="18"/>
                <w:color w:val="auto"/>
              </w:rPr>
              <w:t>Alan.Lewis@take2games.com</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Reports Better Than Expected Results for Fiscal First Quarter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revenue was $813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income per diluted share increased to $1.30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cash provided by operating activities for the three-months ended June 30, 2021 was $148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Adjusted Unrestricted Operating Cash Flow (Non-GAAP) for the three-months ended June 30, 2021 was $29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Bookings were $711 million, above guidance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reiterates outlook for fiscal year 2022</w:t>
      </w:r>
    </w:p>
    <w:p>
      <w:pPr>
        <w:spacing w:after="0" w:line="20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u w:val="single" w:color="auto"/>
          <w:color w:val="auto"/>
        </w:rPr>
        <w:t>New York, NY – August 2, 2021</w:t>
      </w:r>
      <w:r>
        <w:rPr>
          <w:rFonts w:ascii="Arial" w:cs="Arial" w:eastAsia="Arial" w:hAnsi="Arial"/>
          <w:sz w:val="16"/>
          <w:szCs w:val="16"/>
          <w:b w:val="1"/>
          <w:bCs w:val="1"/>
          <w:color w:val="auto"/>
        </w:rPr>
        <w:t xml:space="preserve"> </w:t>
      </w:r>
      <w:r>
        <w:rPr>
          <w:rFonts w:ascii="Arial" w:cs="Arial" w:eastAsia="Arial" w:hAnsi="Arial"/>
          <w:sz w:val="16"/>
          <w:szCs w:val="16"/>
          <w:color w:val="auto"/>
        </w:rPr>
        <w:t>– Take-Two Interactive Software, Inc. (NASDAQ:TTWO) today reported better than expected results for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fiscal year 2022, ending June 30, 2021. In addition, the Company reiterated its outlook for the fiscal year 2022, ending March 31, 2022, and provided its initial outlook for the second quarter of its fiscal year 2022, ending September 30, 2021. For further information, please see the fiscal first quarter 2022 results slide deck posted to the Company’s investor relations website at </w:t>
      </w:r>
      <w:r>
        <w:rPr>
          <w:rFonts w:ascii="Arial" w:cs="Arial" w:eastAsia="Arial" w:hAnsi="Arial"/>
          <w:sz w:val="16"/>
          <w:szCs w:val="16"/>
          <w:u w:val="single" w:color="auto"/>
          <w:color w:val="auto"/>
        </w:rPr>
        <w:t>http://ir.take2games.com.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Fiscal 2022 Financial Highlights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GAAP net revenue decreased 2% to $813.3 million, as compared to $831.3 million in last year’s fiscal first quarter. Recurrent consumer spending (which is generated from ongoing consumer engagement and includes virtual currency, add-on content and in-game purchases) increased 15% and accounted for 70% of total GAAP net revenue. The largest contributors to GAAP net revenue were </w:t>
      </w:r>
      <w:r>
        <w:rPr>
          <w:rFonts w:ascii="Arial" w:cs="Arial" w:eastAsia="Arial" w:hAnsi="Arial"/>
          <w:sz w:val="16"/>
          <w:szCs w:val="16"/>
          <w:i w:val="1"/>
          <w:iCs w:val="1"/>
          <w:color w:val="auto"/>
        </w:rPr>
        <w:t>NBA® 2K21</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 Dead Redemption 2 </w:t>
      </w:r>
      <w:r>
        <w:rPr>
          <w:rFonts w:ascii="Arial" w:cs="Arial" w:eastAsia="Arial" w:hAnsi="Arial"/>
          <w:sz w:val="16"/>
          <w:szCs w:val="16"/>
          <w:color w:val="auto"/>
        </w:rPr>
        <w:t>and</w:t>
      </w:r>
      <w:r>
        <w:rPr>
          <w:rFonts w:ascii="Arial" w:cs="Arial" w:eastAsia="Arial" w:hAnsi="Arial"/>
          <w:sz w:val="16"/>
          <w:szCs w:val="16"/>
          <w:i w:val="1"/>
          <w:iCs w:val="1"/>
          <w:color w:val="auto"/>
        </w:rPr>
        <w:t xml:space="preserve"> Red Dead Online</w:t>
      </w:r>
      <w:r>
        <w:rPr>
          <w:rFonts w:ascii="Arial" w:cs="Arial" w:eastAsia="Arial" w:hAnsi="Arial"/>
          <w:sz w:val="16"/>
          <w:szCs w:val="16"/>
          <w:color w:val="auto"/>
        </w:rPr>
        <w:t>;</w:t>
      </w:r>
      <w:r>
        <w:rPr>
          <w:rFonts w:ascii="Arial" w:cs="Arial" w:eastAsia="Arial" w:hAnsi="Arial"/>
          <w:sz w:val="16"/>
          <w:szCs w:val="16"/>
          <w:i w:val="1"/>
          <w:iCs w:val="1"/>
          <w:color w:val="auto"/>
        </w:rPr>
        <w:t xml:space="preserve"> Borderlands® 3</w:t>
      </w:r>
      <w:r>
        <w:rPr>
          <w:rFonts w:ascii="Arial" w:cs="Arial" w:eastAsia="Arial" w:hAnsi="Arial"/>
          <w:sz w:val="16"/>
          <w:szCs w:val="16"/>
          <w:color w:val="auto"/>
        </w:rPr>
        <w:t>; the</w:t>
      </w:r>
      <w:r>
        <w:rPr>
          <w:rFonts w:ascii="Arial" w:cs="Arial" w:eastAsia="Arial" w:hAnsi="Arial"/>
          <w:sz w:val="16"/>
          <w:szCs w:val="16"/>
          <w:i w:val="1"/>
          <w:iCs w:val="1"/>
          <w:color w:val="auto"/>
        </w:rPr>
        <w:t xml:space="preserve"> WWE® </w:t>
      </w:r>
      <w:r>
        <w:rPr>
          <w:rFonts w:ascii="Arial" w:cs="Arial" w:eastAsia="Arial" w:hAnsi="Arial"/>
          <w:sz w:val="16"/>
          <w:szCs w:val="16"/>
          <w:color w:val="auto"/>
        </w:rPr>
        <w:t>series</w:t>
      </w:r>
      <w:r>
        <w:rPr>
          <w:rFonts w:ascii="Arial" w:cs="Arial" w:eastAsia="Arial" w:hAnsi="Arial"/>
          <w:sz w:val="16"/>
          <w:szCs w:val="16"/>
          <w:i w:val="1"/>
          <w:iCs w:val="1"/>
          <w:color w:val="auto"/>
        </w:rPr>
        <w:t>; Dragon City®; Sid Meier’s Civilization® VI</w:t>
      </w:r>
      <w:r>
        <w:rPr>
          <w:rFonts w:ascii="Arial" w:cs="Arial" w:eastAsia="Arial" w:hAnsi="Arial"/>
          <w:sz w:val="16"/>
          <w:szCs w:val="16"/>
          <w:color w:val="auto"/>
        </w:rPr>
        <w:t>; and</w:t>
      </w:r>
      <w:r>
        <w:rPr>
          <w:rFonts w:ascii="Arial" w:cs="Arial" w:eastAsia="Arial" w:hAnsi="Arial"/>
          <w:sz w:val="16"/>
          <w:szCs w:val="16"/>
          <w:i w:val="1"/>
          <w:iCs w:val="1"/>
          <w:color w:val="auto"/>
        </w:rPr>
        <w:t xml:space="preserve"> Two Dots®</w:t>
      </w:r>
      <w:r>
        <w:rPr>
          <w:rFonts w:ascii="Arial" w:cs="Arial" w:eastAsia="Arial" w:hAnsi="Arial"/>
          <w:sz w:val="16"/>
          <w:szCs w:val="16"/>
          <w:color w:val="auto"/>
        </w:rPr>
        <w: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4" w:name="page5"/>
    <w:bookmarkEnd w:id="4"/>
    <w:p>
      <w:pPr>
        <w:ind w:right="100"/>
        <w:spacing w:after="0" w:line="250" w:lineRule="auto"/>
        <w:rPr>
          <w:sz w:val="20"/>
          <w:szCs w:val="20"/>
          <w:color w:val="auto"/>
        </w:rPr>
      </w:pPr>
      <w:r>
        <w:rPr>
          <w:rFonts w:ascii="Arial" w:cs="Arial" w:eastAsia="Arial" w:hAnsi="Arial"/>
          <w:sz w:val="18"/>
          <w:szCs w:val="18"/>
          <w:color w:val="auto"/>
        </w:rPr>
        <w:t xml:space="preserve">Digitally-delivered GAAP net revenue increased 1% to $740.8 million, as compared to $735.6 million in last year’s fiscal first quarter, and accounted for 91% of total GAAP net revenue. The largest contributors to GAAP digitally-delivered net revenue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the</w:t>
      </w:r>
      <w:r>
        <w:rPr>
          <w:rFonts w:ascii="Arial" w:cs="Arial" w:eastAsia="Arial" w:hAnsi="Arial"/>
          <w:sz w:val="18"/>
          <w:szCs w:val="18"/>
          <w:i w:val="1"/>
          <w:iCs w:val="1"/>
          <w:color w:val="auto"/>
        </w:rPr>
        <w:t xml:space="preserve"> WWE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Dragon City; Two Dots; Sid Meier’s Civilization VI</w:t>
      </w:r>
      <w:r>
        <w:rPr>
          <w:rFonts w:ascii="Arial" w:cs="Arial" w:eastAsia="Arial" w:hAnsi="Arial"/>
          <w:sz w:val="18"/>
          <w:szCs w:val="18"/>
          <w:color w:val="auto"/>
        </w:rPr>
        <w:t>; 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GAAP net income increased 72% to $152.3 million, or $1.30 per diluted share, as compared to $88.5 million, or $0.77 per diluted share, for the comparable period last year.</w:t>
      </w:r>
    </w:p>
    <w:p>
      <w:pPr>
        <w:spacing w:after="0" w:line="18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During the three-month period ended June 30, 2021, GAAP net cash provided by operating activities was $148.2 million, as compared to $445.4 million in the same period last year. During the three-month period ended June 30, 2021, Adjusted Unrestricted Operating Cash Flow (Non-GAAP), which is defined as GAAP net cash from operating activities, adjusted for changes in restricted cash, was $29.1 million, as compared to $324.0 million in the same period last year (please see the section below titled “Non-GAAP Financial Measure” for additional information). As of June 30, 2021, the Company had cash and short-term investments of $2.536 billion.</w:t>
      </w:r>
    </w:p>
    <w:p>
      <w:pPr>
        <w:spacing w:after="0" w:line="19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data, together with a management reporting tax rate of 16%,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6"/>
                <w:szCs w:val="16"/>
                <w:b w:val="1"/>
                <w:bCs w:val="1"/>
                <w:color w:val="auto"/>
                <w:w w:val="89"/>
              </w:rPr>
              <w:t>Three Months Ended June 30, 2021</w:t>
            </w: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6"/>
                <w:szCs w:val="16"/>
                <w:b w:val="1"/>
                <w:bCs w:val="1"/>
                <w:color w:val="auto"/>
              </w:rPr>
              <w:t>Financial Data</w:t>
            </w: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0"/>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0"/>
              </w:rPr>
              <w:t>Change in</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8"/>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deferred net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Amortization</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&amp; impairment</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Gain on long-</w:t>
            </w:r>
          </w:p>
        </w:tc>
      </w:tr>
      <w:tr>
        <w:trPr>
          <w:trHeight w:val="198"/>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Statement</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and related</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Impact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of acquired</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7"/>
              </w:rPr>
              <w:t>term</w:t>
            </w:r>
          </w:p>
        </w:tc>
      </w:tr>
      <w:tr>
        <w:trPr>
          <w:trHeight w:val="198"/>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of</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cost of</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2"/>
              </w:rPr>
              <w:t>Stock-based</w:t>
            </w:r>
          </w:p>
        </w:tc>
        <w:tc>
          <w:tcPr>
            <w:tcW w:w="12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business</w:t>
            </w: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Business</w:t>
            </w: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intangible</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5"/>
              </w:rPr>
              <w:t>investments,</w:t>
            </w:r>
          </w:p>
        </w:tc>
      </w:tr>
      <w:tr>
        <w:trPr>
          <w:trHeight w:val="208"/>
        </w:trPr>
        <w:tc>
          <w:tcPr>
            <w:tcW w:w="2820" w:type="dxa"/>
            <w:vAlign w:val="bottom"/>
            <w:gridSpan w:val="2"/>
          </w:tcPr>
          <w:p>
            <w:pPr>
              <w:spacing w:after="0"/>
              <w:rPr>
                <w:sz w:val="20"/>
                <w:szCs w:val="20"/>
                <w:color w:val="auto"/>
              </w:rPr>
            </w:pPr>
            <w:r>
              <w:rPr>
                <w:rFonts w:ascii="Arial" w:cs="Arial" w:eastAsia="Arial" w:hAnsi="Arial"/>
                <w:sz w:val="16"/>
                <w:szCs w:val="16"/>
                <w:i w:val="1"/>
                <w:iCs w:val="1"/>
                <w:color w:val="auto"/>
              </w:rPr>
              <w:t>$ in thousands</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operations</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1"/>
              </w:rPr>
              <w:t>goods sold</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6"/>
              </w:rPr>
              <w:t>compensation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reorganization</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acquisition</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6"/>
              </w:rPr>
              <w:t>assets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net</w:t>
            </w:r>
          </w:p>
        </w:tc>
      </w:tr>
      <w:tr>
        <w:trPr>
          <w:trHeight w:val="194"/>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813,346</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(101,916)</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8"/>
        </w:trPr>
        <w:tc>
          <w:tcPr>
            <w:tcW w:w="282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329,715</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(8,135)</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(12,050)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(11,112)</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483,631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(93,781)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11,112</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8"/>
        </w:trPr>
        <w:tc>
          <w:tcPr>
            <w:tcW w:w="2820" w:type="dxa"/>
            <w:vAlign w:val="bottom"/>
            <w:gridSpan w:val="2"/>
          </w:tcPr>
          <w:p>
            <w:pPr>
              <w:ind w:left="16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313,157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(37,000)</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(97)</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(2,186)</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(3,894)</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8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Income from operations</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170,474</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(93,781)</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49,050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2,186</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15,006</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8"/>
        </w:trPr>
        <w:tc>
          <w:tcPr>
            <w:tcW w:w="2820" w:type="dxa"/>
            <w:vAlign w:val="bottom"/>
            <w:gridSpan w:val="2"/>
          </w:tcPr>
          <w:p>
            <w:pPr>
              <w:ind w:left="160"/>
              <w:spacing w:after="0"/>
              <w:rPr>
                <w:sz w:val="20"/>
                <w:szCs w:val="20"/>
                <w:color w:val="auto"/>
              </w:rPr>
            </w:pPr>
            <w:r>
              <w:rPr>
                <w:rFonts w:ascii="Arial" w:cs="Arial" w:eastAsia="Arial" w:hAnsi="Arial"/>
                <w:sz w:val="16"/>
                <w:szCs w:val="16"/>
                <w:color w:val="auto"/>
              </w:rPr>
              <w:t>Interest and other, net</w:t>
            </w: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(1,027)</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(610)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Gain on long-term investments,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6"/>
              </w:rPr>
              <w:t>(1,997)</w:t>
            </w:r>
          </w:p>
        </w:tc>
      </w:tr>
      <w:tr>
        <w:trPr>
          <w:trHeight w:val="198"/>
        </w:trPr>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171,444</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(94,391)</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15,006</w:t>
            </w:r>
          </w:p>
        </w:tc>
        <w:tc>
          <w:tcPr>
            <w:tcW w:w="200" w:type="dxa"/>
            <w:vAlign w:val="bottom"/>
          </w:tcPr>
          <w:p>
            <w:pPr>
              <w:spacing w:after="0"/>
              <w:rPr>
                <w:sz w:val="17"/>
                <w:szCs w:val="17"/>
                <w:color w:val="auto"/>
              </w:rPr>
            </w:pPr>
          </w:p>
        </w:tc>
        <w:tc>
          <w:tcPr>
            <w:tcW w:w="100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w w:val="74"/>
              </w:rPr>
              <w:t>(1,997)</w:t>
            </w:r>
          </w:p>
        </w:tc>
        <w:tc>
          <w:tcPr>
            <w:tcW w:w="60" w:type="dxa"/>
            <w:vAlign w:val="bottom"/>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order to calculate net income per diluted share for management reporting purposes, the Company uses its fully diluted share count of 117.1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Metric – Net Bookings</w:t>
      </w:r>
    </w:p>
    <w:p>
      <w:pPr>
        <w:spacing w:after="0" w:line="221"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spacing w:after="0" w:line="250" w:lineRule="auto"/>
        <w:rPr>
          <w:sz w:val="20"/>
          <w:szCs w:val="20"/>
          <w:color w:val="auto"/>
        </w:rPr>
      </w:pPr>
      <w:r>
        <w:rPr>
          <w:rFonts w:ascii="Arial" w:cs="Arial" w:eastAsia="Arial" w:hAnsi="Arial"/>
          <w:sz w:val="18"/>
          <w:szCs w:val="18"/>
          <w:color w:val="auto"/>
        </w:rPr>
        <w:t xml:space="preserve">During fiscal first quarter 2022, total Net Bookings declined 29% to $711.4 million, as compared to $996.2 million during last year’s fiscal first quarter. Net Bookings from recurrent consumer spending declined 25% and accounted for 69% of total Net Bookings. The largest contributors to Net Bookings were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2K21 </w:t>
      </w:r>
      <w:r>
        <w:rPr>
          <w:rFonts w:ascii="Arial" w:cs="Arial" w:eastAsia="Arial" w:hAnsi="Arial"/>
          <w:sz w:val="18"/>
          <w:szCs w:val="18"/>
          <w:color w:val="auto"/>
        </w:rPr>
        <w:t>and</w:t>
      </w:r>
      <w:r>
        <w:rPr>
          <w:rFonts w:ascii="Arial" w:cs="Arial" w:eastAsia="Arial" w:hAnsi="Arial"/>
          <w:sz w:val="18"/>
          <w:szCs w:val="18"/>
          <w:i w:val="1"/>
          <w:iCs w:val="1"/>
          <w:color w:val="auto"/>
        </w:rPr>
        <w:t xml:space="preserve">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the</w:t>
      </w:r>
      <w:r>
        <w:rPr>
          <w:rFonts w:ascii="Arial" w:cs="Arial" w:eastAsia="Arial" w:hAnsi="Arial"/>
          <w:sz w:val="18"/>
          <w:szCs w:val="18"/>
          <w:i w:val="1"/>
          <w:iCs w:val="1"/>
          <w:color w:val="auto"/>
        </w:rPr>
        <w:t xml:space="preserve"> WWE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Dragon City; Two Dots</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Catalog accounted for $652.6 million of Net Bookings led by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Borderlands</w:t>
      </w:r>
      <w:r>
        <w:rPr>
          <w:rFonts w:ascii="Arial" w:cs="Arial" w:eastAsia="Arial" w:hAnsi="Arial"/>
          <w:sz w:val="18"/>
          <w:szCs w:val="18"/>
          <w:color w:val="auto"/>
        </w:rPr>
        <w:t xml:space="preserve">, the </w:t>
      </w:r>
      <w:r>
        <w:rPr>
          <w:rFonts w:ascii="Arial" w:cs="Arial" w:eastAsia="Arial" w:hAnsi="Arial"/>
          <w:sz w:val="18"/>
          <w:szCs w:val="18"/>
          <w:i w:val="1"/>
          <w:iCs w:val="1"/>
          <w:color w:val="auto"/>
        </w:rPr>
        <w:t>WWE</w:t>
      </w:r>
      <w:r>
        <w:rPr>
          <w:rFonts w:ascii="Arial" w:cs="Arial" w:eastAsia="Arial" w:hAnsi="Arial"/>
          <w:sz w:val="18"/>
          <w:szCs w:val="18"/>
          <w:color w:val="auto"/>
        </w:rPr>
        <w:t xml:space="preserve"> series,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Sid Meier’s Civilization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Two Dots</w:t>
      </w:r>
      <w:r>
        <w:rPr>
          <w:rFonts w:ascii="Arial" w:cs="Arial" w:eastAsia="Arial" w:hAnsi="Arial"/>
          <w:sz w:val="18"/>
          <w:szCs w:val="18"/>
          <w:color w:val="auto"/>
        </w:rPr>
        <w:t>.</w:t>
      </w:r>
    </w:p>
    <w:p>
      <w:pPr>
        <w:spacing w:after="0" w:line="18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 xml:space="preserve">Digitally-delivered Net Bookings declined 26% to $680.4 million, as compared to $924.5 million in last year’s fiscal first quarter, and accounted for 96% of total Net Bookings. The largest contributors to digitally-delivered Net Bookings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2K20;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 </w:t>
      </w:r>
      <w:r>
        <w:rPr>
          <w:rFonts w:ascii="Arial" w:cs="Arial" w:eastAsia="Arial" w:hAnsi="Arial"/>
          <w:sz w:val="18"/>
          <w:szCs w:val="18"/>
          <w:color w:val="auto"/>
        </w:rPr>
        <w:t>the</w:t>
      </w:r>
      <w:r>
        <w:rPr>
          <w:rFonts w:ascii="Arial" w:cs="Arial" w:eastAsia="Arial" w:hAnsi="Arial"/>
          <w:sz w:val="18"/>
          <w:szCs w:val="18"/>
          <w:i w:val="1"/>
          <w:iCs w:val="1"/>
          <w:color w:val="auto"/>
        </w:rPr>
        <w:t xml:space="preserve"> WWE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Dragon City; Two Dots; Sid Meier’s Civilization VI;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began fiscal 2022 with positive momentum, which was reflected in our ability to deliver first quarter operating results which were above our expectations,” said Strauss Zelnick, Chairman and CEO of Take-Two. “During the period, we continued to invest in our future, including growing our creative teams and expanding our mobile business and expertise further.</w:t>
      </w:r>
    </w:p>
    <w:p>
      <w:pPr>
        <w:spacing w:after="0" w:line="19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“For the year, we are reiterating our outlook, as there has been some movement in our release schedule, including two of our immersive core titles shifting to later in fiscal 2022 than contemplated by our prior guidance. As we deliver on our expansive multi-year pipeline, we believe that we will achieve sequential growth in fiscal 2023 and establish new record levels of operating results over the next few years.</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remain highly optimistic about the growth potential for the interactive entertainment industry and our competitive positioning within the sector. We believe that our unique strategic advantages, together with our focus on enhancing our enterprise and capitalizing on our growth opportunities, will enable us to deliver long-term shareholder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Response</w:t>
      </w:r>
    </w:p>
    <w:p>
      <w:pPr>
        <w:spacing w:after="0" w:line="22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Take-Two, our number one priority has remained the health and safety of our employees and their families. All of our offices moved largely to work-from-home environments by mid-March 2020. As we begin to re-open many of our offices, we are strictly following protocols from local governments and health officials to ensure that we are adhering to their safety standards.</w:t>
      </w:r>
    </w:p>
    <w:p>
      <w:pPr>
        <w:spacing w:after="0" w:line="19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Due to the shelter-in-place orders that began last year, we experienced heightened levels of engagement and Net Bookings growth during our fiscal 2021 period. As the return to normalcy continues to unfold, the impact to our business, operations and financial results will depend on numerous evolving factors that we are not able to predict. The key risks to our business are set forth under the heading “Cautionary Note Regarding Forward-Looking Statements” in this release and in Take-Two’s Annual Report on Form 10-K for the fiscal year ended March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Since April 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w:t>
      </w:r>
    </w:p>
    <w:p>
      <w:pPr>
        <w:spacing w:after="0" w:line="221" w:lineRule="exact"/>
        <w:rPr>
          <w:sz w:val="20"/>
          <w:szCs w:val="20"/>
          <w:color w:val="auto"/>
        </w:rPr>
      </w:pPr>
    </w:p>
    <w:p>
      <w:pPr>
        <w:ind w:left="320" w:right="200" w:hanging="314"/>
        <w:spacing w:after="0" w:line="250"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Acquired privately-held Nordeus for an upfront purchase price of $225 million. There is the potential for the payment of an additional earn-out consideration based upon Nordeus achieving EBITDA results above certain thresholds during each of the first two years. Founded in 2010, Nordeus is a mobile games company based in Belgrade, Serbia, best known for </w:t>
      </w:r>
      <w:r>
        <w:rPr>
          <w:rFonts w:ascii="Arial" w:cs="Arial" w:eastAsia="Arial" w:hAnsi="Arial"/>
          <w:sz w:val="18"/>
          <w:szCs w:val="18"/>
          <w:i w:val="1"/>
          <w:iCs w:val="1"/>
          <w:color w:val="auto"/>
        </w:rPr>
        <w:t>Top Eleven</w:t>
      </w:r>
      <w:r>
        <w:rPr>
          <w:rFonts w:ascii="Arial" w:cs="Arial" w:eastAsia="Arial" w:hAnsi="Arial"/>
          <w:sz w:val="18"/>
          <w:szCs w:val="18"/>
          <w:color w:val="auto"/>
        </w:rPr>
        <w:t>, the world’s most successful mobile soccer management game* with over 240 million registered users.</w:t>
      </w:r>
    </w:p>
    <w:p>
      <w:pPr>
        <w:spacing w:after="0" w:line="219" w:lineRule="exact"/>
        <w:rPr>
          <w:rFonts w:ascii="Arial" w:cs="Arial" w:eastAsia="Arial" w:hAnsi="Arial"/>
          <w:sz w:val="18"/>
          <w:szCs w:val="18"/>
          <w:color w:val="auto"/>
        </w:rPr>
      </w:pPr>
    </w:p>
    <w:p>
      <w:pPr>
        <w:ind w:left="320" w:right="540" w:hanging="314"/>
        <w:spacing w:after="0" w:line="300"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Acquired privately-held Dynamixyz, a world-class leader in video-based facial animation services. Founded in 2010 in Cesson-Sévigné, France, Dynamixyz owns and operates a suite of leading-edge, proprietary motion capture, facial-analysis, and full 3D processing tools and technology that combines computer graphics, computer vision, and machine learning. Financial details of the acquisition were not disclosed.</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 w:name="page7"/>
    <w:bookmarkEnd w:id="6"/>
    <w:p>
      <w:pPr>
        <w:ind w:left="320" w:right="120" w:hanging="314"/>
        <w:spacing w:after="0" w:line="300"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Take-Two was a founding donor of The Gerald A. Lawson Endowment Fund for Black and Indigenous Students, which was created with the goal of increasing those groups’ representation in the gaming and tech industries. The fund provides student support for Black and Indigenous students who wish to pursue undergraduate or graduate degrees in game design or computer science from USC's prestigious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AppAnnie based upon downloads and revenue through April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1"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w:t>
      </w:r>
    </w:p>
    <w:p>
      <w:pPr>
        <w:spacing w:after="0" w:line="241" w:lineRule="exact"/>
        <w:rPr>
          <w:sz w:val="20"/>
          <w:szCs w:val="20"/>
          <w:color w:val="auto"/>
        </w:rPr>
      </w:pPr>
    </w:p>
    <w:p>
      <w:pPr>
        <w:ind w:left="960" w:hanging="321"/>
        <w:spacing w:after="0" w:line="287"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On July 20, delivered the </w:t>
      </w:r>
      <w:r>
        <w:rPr>
          <w:rFonts w:ascii="Arial" w:cs="Arial" w:eastAsia="Arial" w:hAnsi="Arial"/>
          <w:sz w:val="16"/>
          <w:szCs w:val="16"/>
          <w:i w:val="1"/>
          <w:iCs w:val="1"/>
          <w:color w:val="auto"/>
        </w:rPr>
        <w:t>Los Santos Tuners</w:t>
      </w:r>
      <w:r>
        <w:rPr>
          <w:rFonts w:ascii="Arial" w:cs="Arial" w:eastAsia="Arial" w:hAnsi="Arial"/>
          <w:sz w:val="16"/>
          <w:szCs w:val="16"/>
          <w:color w:val="auto"/>
        </w:rPr>
        <w:t xml:space="preserve"> update. This massive update introduced the LS Car Meet, a new shared social space for players to get together to modify their personal vehicles, watch others modify their Tuner vehicles in real-time, race and test various vehicles on an underground test track, and much more. In addition, </w:t>
      </w:r>
      <w:r>
        <w:rPr>
          <w:rFonts w:ascii="Arial" w:cs="Arial" w:eastAsia="Arial" w:hAnsi="Arial"/>
          <w:sz w:val="16"/>
          <w:szCs w:val="16"/>
          <w:i w:val="1"/>
          <w:iCs w:val="1"/>
          <w:color w:val="auto"/>
        </w:rPr>
        <w:t>Los Santos Tuners</w:t>
      </w:r>
      <w:r>
        <w:rPr>
          <w:rFonts w:ascii="Arial" w:cs="Arial" w:eastAsia="Arial" w:hAnsi="Arial"/>
          <w:sz w:val="16"/>
          <w:szCs w:val="16"/>
          <w:color w:val="auto"/>
        </w:rPr>
        <w:t xml:space="preserve"> features six new robbery Contracts; six new race types; ten new highly customizable vehicles; new collectible USB sticks featuring music from Moodymann and Seth Troxler, allowing players to experience music in an all-new way, and a host of quality-of-life updates, including a new customizable radio station wheel.</w:t>
      </w:r>
    </w:p>
    <w:p>
      <w:pPr>
        <w:spacing w:after="0" w:line="192" w:lineRule="exact"/>
        <w:rPr>
          <w:rFonts w:ascii="Arial" w:cs="Arial" w:eastAsia="Arial" w:hAnsi="Arial"/>
          <w:sz w:val="16"/>
          <w:szCs w:val="16"/>
          <w:color w:val="auto"/>
        </w:rPr>
      </w:pPr>
    </w:p>
    <w:p>
      <w:pPr>
        <w:ind w:left="960" w:right="300" w:hanging="321"/>
        <w:spacing w:after="0" w:line="262"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Earlier in the Summer, Rockstar Games released eight new stunt races, seven new arenas for Deadline mode and regular in-game bonuses and incentives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Red Dead Online</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left="960" w:right="200" w:hanging="321"/>
        <w:spacing w:after="0" w:line="253"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On July 13, released the </w:t>
      </w:r>
      <w:r>
        <w:rPr>
          <w:rFonts w:ascii="Arial" w:cs="Arial" w:eastAsia="Arial" w:hAnsi="Arial"/>
          <w:sz w:val="18"/>
          <w:szCs w:val="18"/>
          <w:i w:val="1"/>
          <w:iCs w:val="1"/>
          <w:color w:val="auto"/>
        </w:rPr>
        <w:t>Blood Money</w:t>
      </w:r>
      <w:r>
        <w:rPr>
          <w:rFonts w:ascii="Arial" w:cs="Arial" w:eastAsia="Arial" w:hAnsi="Arial"/>
          <w:sz w:val="18"/>
          <w:szCs w:val="18"/>
          <w:color w:val="auto"/>
        </w:rPr>
        <w:t xml:space="preserve"> update for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The update introduced a series of criminal-themed Opportunities; complex new missions, including the game's first train robbery; and </w:t>
      </w:r>
      <w:r>
        <w:rPr>
          <w:rFonts w:ascii="Arial" w:cs="Arial" w:eastAsia="Arial" w:hAnsi="Arial"/>
          <w:sz w:val="18"/>
          <w:szCs w:val="18"/>
          <w:i w:val="1"/>
          <w:iCs w:val="1"/>
          <w:color w:val="auto"/>
        </w:rPr>
        <w:t>The Quick Draw Club</w:t>
      </w:r>
      <w:r>
        <w:rPr>
          <w:rFonts w:ascii="Arial" w:cs="Arial" w:eastAsia="Arial" w:hAnsi="Arial"/>
          <w:sz w:val="18"/>
          <w:szCs w:val="18"/>
          <w:color w:val="auto"/>
        </w:rPr>
        <w:t xml:space="preserve"> - a series of four distinct, rapid-fire passes featuring criminal-themed unlockable rewards, bonuses, and more.</w:t>
      </w:r>
    </w:p>
    <w:p>
      <w:pPr>
        <w:spacing w:after="0" w:line="215" w:lineRule="exact"/>
        <w:rPr>
          <w:rFonts w:ascii="Arial" w:cs="Arial" w:eastAsia="Arial" w:hAnsi="Arial"/>
          <w:sz w:val="18"/>
          <w:szCs w:val="18"/>
          <w:color w:val="auto"/>
        </w:rPr>
      </w:pPr>
    </w:p>
    <w:p>
      <w:pPr>
        <w:ind w:left="960" w:right="240" w:hanging="321"/>
        <w:spacing w:after="0" w:line="262"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Prior to this update,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introduced eight new races spanning iconic locations across the game's five states and a creative array of bonuses and incentives.</w:t>
      </w:r>
    </w:p>
    <w:p>
      <w:pPr>
        <w:spacing w:after="0" w:line="207" w:lineRule="exact"/>
        <w:rPr>
          <w:rFonts w:ascii="Arial" w:cs="Arial" w:eastAsia="Arial" w:hAnsi="Arial"/>
          <w:sz w:val="18"/>
          <w:szCs w:val="18"/>
          <w:color w:val="auto"/>
        </w:rPr>
      </w:pPr>
    </w:p>
    <w:p>
      <w:pPr>
        <w:ind w:left="320" w:right="400" w:hanging="314"/>
        <w:spacing w:after="0" w:line="325"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Rockstar Games and Tribeca Festival joined together for a special free live performance from The Battery featuring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Original Soundtrack producer, Daniel Lanois. The performance featured special guests, D’Angelo and Rhiannon Giddens.</w:t>
      </w:r>
    </w:p>
    <w:p>
      <w:pPr>
        <w:spacing w:after="0" w:line="161" w:lineRule="exact"/>
        <w:rPr>
          <w:rFonts w:ascii="Arial" w:cs="Arial" w:eastAsia="Arial" w:hAnsi="Arial"/>
          <w:sz w:val="16"/>
          <w:szCs w:val="16"/>
          <w:color w:val="auto"/>
        </w:rPr>
      </w:pPr>
    </w:p>
    <w:p>
      <w:pPr>
        <w:jc w:val="both"/>
        <w:ind w:left="320" w:right="80" w:hanging="314"/>
        <w:spacing w:after="0" w:line="253"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Rockstar Games teamed with CircoLoco — creators of some of the world’s biggest and most influential real-world parties and one of the most recognized brands in modern dance music — to create a brand-new record label, CircoLoco Records. The label is focused on elevating the dance music culture scene through the collective power of these two entertainment brands.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2K:</w:t>
      </w:r>
    </w:p>
    <w:p>
      <w:pPr>
        <w:spacing w:after="0" w:line="221" w:lineRule="exact"/>
        <w:rPr>
          <w:sz w:val="20"/>
          <w:szCs w:val="20"/>
          <w:color w:val="auto"/>
        </w:rPr>
      </w:pPr>
    </w:p>
    <w:p>
      <w:pPr>
        <w:ind w:left="320" w:hanging="314"/>
        <w:spacing w:after="0" w:line="281"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Unveiled the full roster of cover athletes for </w:t>
      </w:r>
      <w:r>
        <w:rPr>
          <w:rFonts w:ascii="Arial" w:cs="Arial" w:eastAsia="Arial" w:hAnsi="Arial"/>
          <w:sz w:val="16"/>
          <w:szCs w:val="16"/>
          <w:i w:val="1"/>
          <w:iCs w:val="1"/>
          <w:color w:val="auto"/>
        </w:rPr>
        <w:t>NBA 2K22</w:t>
      </w:r>
      <w:r>
        <w:rPr>
          <w:rFonts w:ascii="Arial" w:cs="Arial" w:eastAsia="Arial" w:hAnsi="Arial"/>
          <w:sz w:val="16"/>
          <w:szCs w:val="16"/>
          <w:color w:val="auto"/>
        </w:rPr>
        <w:t>, the next installment of the top-rated and top-selling NBA video game simulation series of the past 20 years. Global phenomenon and two-time NBA All-Star, Luka Dončić, will appear on the Standard Edition and Cross-Gen Digital Bundle, while the premium, NBA 75th Anniversary Edition will showcase NBA legends Kareem Abdul-Jabbar, Dirk Nowitzki, and Kevin Durant. In North America, players can purchase a special version of the Standard Edition featuring six-time WNBA All-Star and WNBA Champion, Candace Parker, on the cover and available exclusively through GameStop and EB Games. In Japan, players can also purchase a special version of the Standard Edition that will feature Washington Wizards Rui Hachimura, a rising star who was the first Japanese player to not only be drafted in the first round in 2019, but also to reach the NBA Playoffs. The Standard Edition will be available for $59.99 on Gen 8 consoles and $69.99 for Gen 9 consoles; the Cross-Gen Digital Bundle will be available for $79.99 and grant players access to the Standard Edition across Gen 8 and Gen 9 consoles within the same console families; and the NBA 75th Anniversary Edition will be available for $99.99 for both Gen 8 and Gen 9 consoles.</w:t>
      </w:r>
    </w:p>
    <w:p>
      <w:pPr>
        <w:spacing w:after="0" w:line="171" w:lineRule="exact"/>
        <w:rPr>
          <w:rFonts w:ascii="Arial" w:cs="Arial" w:eastAsia="Arial" w:hAnsi="Arial"/>
          <w:sz w:val="16"/>
          <w:szCs w:val="16"/>
          <w:color w:val="auto"/>
        </w:rPr>
      </w:pPr>
    </w:p>
    <w:p>
      <w:pPr>
        <w:ind w:left="320" w:right="60" w:hanging="271"/>
        <w:spacing w:after="0" w:line="325" w:lineRule="auto"/>
        <w:tabs>
          <w:tab w:leader="none" w:pos="32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Continued to expand the breadth of </w:t>
      </w:r>
      <w:r>
        <w:rPr>
          <w:rFonts w:ascii="Arial" w:cs="Arial" w:eastAsia="Arial" w:hAnsi="Arial"/>
          <w:sz w:val="16"/>
          <w:szCs w:val="16"/>
          <w:i w:val="1"/>
          <w:iCs w:val="1"/>
          <w:color w:val="auto"/>
        </w:rPr>
        <w:t>NBA 2K</w:t>
      </w:r>
      <w:r>
        <w:rPr>
          <w:rFonts w:ascii="Arial" w:cs="Arial" w:eastAsia="Arial" w:hAnsi="Arial"/>
          <w:sz w:val="16"/>
          <w:szCs w:val="16"/>
          <w:color w:val="auto"/>
        </w:rPr>
        <w:t xml:space="preserve"> offerings with the launch of the </w:t>
      </w:r>
      <w:r>
        <w:rPr>
          <w:rFonts w:ascii="Arial" w:cs="Arial" w:eastAsia="Arial" w:hAnsi="Arial"/>
          <w:sz w:val="16"/>
          <w:szCs w:val="16"/>
          <w:i w:val="1"/>
          <w:iCs w:val="1"/>
          <w:color w:val="auto"/>
        </w:rPr>
        <w:t>NBA 2K21 Arcade Edition</w:t>
      </w:r>
      <w:r>
        <w:rPr>
          <w:rFonts w:ascii="Arial" w:cs="Arial" w:eastAsia="Arial" w:hAnsi="Arial"/>
          <w:sz w:val="16"/>
          <w:szCs w:val="16"/>
          <w:color w:val="auto"/>
        </w:rPr>
        <w:t xml:space="preserve"> on Apple Arcade, delivering an all-new basketball simulation game experience to Apple’s video game subscription service, available on iPhone, iPad, Apple TV, and Mac devices.</w:t>
      </w:r>
    </w:p>
    <w:p>
      <w:pPr>
        <w:spacing w:after="0" w:line="161" w:lineRule="exact"/>
        <w:rPr>
          <w:rFonts w:ascii="Arial" w:cs="Arial" w:eastAsia="Arial" w:hAnsi="Arial"/>
          <w:sz w:val="16"/>
          <w:szCs w:val="16"/>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Offered a variety of updates to </w:t>
      </w:r>
      <w:r>
        <w:rPr>
          <w:rFonts w:ascii="Arial" w:cs="Arial" w:eastAsia="Arial" w:hAnsi="Arial"/>
          <w:sz w:val="18"/>
          <w:szCs w:val="18"/>
          <w:i w:val="1"/>
          <w:iCs w:val="1"/>
          <w:color w:val="auto"/>
        </w:rPr>
        <w:t>NBA Supercard</w:t>
      </w:r>
      <w:r>
        <w:rPr>
          <w:rFonts w:ascii="Arial" w:cs="Arial" w:eastAsia="Arial" w:hAnsi="Arial"/>
          <w:sz w:val="18"/>
          <w:szCs w:val="18"/>
          <w:color w:val="auto"/>
        </w:rPr>
        <w:t>, including a new card tier, as well as new modes, themes and more.</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NBA 2K League</w:t>
      </w:r>
      <w:r>
        <w:rPr>
          <w:rFonts w:ascii="Arial" w:cs="Arial" w:eastAsia="Arial" w:hAnsi="Arial"/>
          <w:sz w:val="16"/>
          <w:szCs w:val="16"/>
          <w:color w:val="auto"/>
        </w:rPr>
        <w:t xml:space="preserve"> kicked off its fourth season on May 19, which will conclude on September 4 with the </w:t>
      </w:r>
      <w:r>
        <w:rPr>
          <w:rFonts w:ascii="Arial" w:cs="Arial" w:eastAsia="Arial" w:hAnsi="Arial"/>
          <w:sz w:val="16"/>
          <w:szCs w:val="16"/>
          <w:i w:val="1"/>
          <w:iCs w:val="1"/>
          <w:color w:val="auto"/>
        </w:rPr>
        <w:t>NBA 2K League</w:t>
      </w:r>
      <w:r>
        <w:rPr>
          <w:rFonts w:ascii="Arial" w:cs="Arial" w:eastAsia="Arial" w:hAnsi="Arial"/>
          <w:sz w:val="16"/>
          <w:szCs w:val="16"/>
          <w:color w:val="auto"/>
        </w:rPr>
        <w:t xml:space="preserve"> Finals delivered by DoorDash.</w:t>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7" w:name="page8"/>
    <w:bookmarkEnd w:id="7"/>
    <w:p>
      <w:pPr>
        <w:ind w:left="320" w:right="160" w:hanging="314"/>
        <w:spacing w:after="0" w:line="262"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Released several updates to </w:t>
      </w:r>
      <w:r>
        <w:rPr>
          <w:rFonts w:ascii="Arial" w:cs="Arial" w:eastAsia="Arial" w:hAnsi="Arial"/>
          <w:sz w:val="18"/>
          <w:szCs w:val="18"/>
          <w:i w:val="1"/>
          <w:iCs w:val="1"/>
          <w:color w:val="auto"/>
        </w:rPr>
        <w:t>PGA TOUR 2K21</w:t>
      </w:r>
      <w:r>
        <w:rPr>
          <w:rFonts w:ascii="Arial" w:cs="Arial" w:eastAsia="Arial" w:hAnsi="Arial"/>
          <w:sz w:val="18"/>
          <w:szCs w:val="18"/>
          <w:color w:val="auto"/>
        </w:rPr>
        <w:t xml:space="preserve">, including a series of fan-favorite and all-new custom courses created by some of the most talented course creators in the </w:t>
      </w:r>
      <w:r>
        <w:rPr>
          <w:rFonts w:ascii="Arial" w:cs="Arial" w:eastAsia="Arial" w:hAnsi="Arial"/>
          <w:sz w:val="18"/>
          <w:szCs w:val="18"/>
          <w:i w:val="1"/>
          <w:iCs w:val="1"/>
          <w:color w:val="auto"/>
        </w:rPr>
        <w:t>PGA TOUR 2K</w:t>
      </w:r>
      <w:r>
        <w:rPr>
          <w:rFonts w:ascii="Arial" w:cs="Arial" w:eastAsia="Arial" w:hAnsi="Arial"/>
          <w:sz w:val="18"/>
          <w:szCs w:val="18"/>
          <w:color w:val="auto"/>
        </w:rPr>
        <w:t xml:space="preserve"> community.</w:t>
      </w:r>
    </w:p>
    <w:p>
      <w:pPr>
        <w:spacing w:after="0" w:line="207" w:lineRule="exact"/>
        <w:rPr>
          <w:rFonts w:ascii="Arial" w:cs="Arial" w:eastAsia="Arial" w:hAnsi="Arial"/>
          <w:sz w:val="18"/>
          <w:szCs w:val="18"/>
          <w:color w:val="auto"/>
        </w:rPr>
      </w:pPr>
    </w:p>
    <w:p>
      <w:pPr>
        <w:ind w:left="320" w:right="60" w:hanging="314"/>
        <w:spacing w:after="0" w:line="262"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New apparel, accessory and footwear offerings were made available for </w:t>
      </w:r>
      <w:r>
        <w:rPr>
          <w:rFonts w:ascii="Arial" w:cs="Arial" w:eastAsia="Arial" w:hAnsi="Arial"/>
          <w:sz w:val="18"/>
          <w:szCs w:val="18"/>
          <w:i w:val="1"/>
          <w:iCs w:val="1"/>
          <w:color w:val="auto"/>
        </w:rPr>
        <w:t>PGA TOUR 2K21</w:t>
      </w:r>
      <w:r>
        <w:rPr>
          <w:rFonts w:ascii="Arial" w:cs="Arial" w:eastAsia="Arial" w:hAnsi="Arial"/>
          <w:sz w:val="18"/>
          <w:szCs w:val="18"/>
          <w:color w:val="auto"/>
        </w:rPr>
        <w:t xml:space="preserve"> through the NBA team logo gear update and the TravisMathew and PUMA golf gear update.</w:t>
      </w:r>
    </w:p>
    <w:p>
      <w:pPr>
        <w:spacing w:after="0" w:line="207" w:lineRule="exact"/>
        <w:rPr>
          <w:rFonts w:ascii="Arial" w:cs="Arial" w:eastAsia="Arial" w:hAnsi="Arial"/>
          <w:sz w:val="18"/>
          <w:szCs w:val="18"/>
          <w:color w:val="auto"/>
        </w:rPr>
      </w:pPr>
    </w:p>
    <w:p>
      <w:pPr>
        <w:ind w:left="320" w:right="20" w:hanging="314"/>
        <w:spacing w:after="0" w:line="253"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During the WrestleMania 37 broadcast on April 10, 2021, 2K and Visual Concepts revealed the first teaser video for </w:t>
      </w:r>
      <w:r>
        <w:rPr>
          <w:rFonts w:ascii="Arial" w:cs="Arial" w:eastAsia="Arial" w:hAnsi="Arial"/>
          <w:sz w:val="18"/>
          <w:szCs w:val="18"/>
          <w:i w:val="1"/>
          <w:iCs w:val="1"/>
          <w:color w:val="auto"/>
        </w:rPr>
        <w:t>WWE 2K22</w:t>
      </w:r>
      <w:r>
        <w:rPr>
          <w:rFonts w:ascii="Arial" w:cs="Arial" w:eastAsia="Arial" w:hAnsi="Arial"/>
          <w:sz w:val="18"/>
          <w:szCs w:val="18"/>
          <w:color w:val="auto"/>
        </w:rPr>
        <w:t xml:space="preserve">, which will launch within our current fiscal year. In recent weeks, the teams shared a series of behind-the-scenes looks at </w:t>
      </w:r>
      <w:r>
        <w:rPr>
          <w:rFonts w:ascii="Arial" w:cs="Arial" w:eastAsia="Arial" w:hAnsi="Arial"/>
          <w:sz w:val="18"/>
          <w:szCs w:val="18"/>
          <w:i w:val="1"/>
          <w:iCs w:val="1"/>
          <w:color w:val="auto"/>
        </w:rPr>
        <w:t>WWE 2K22</w:t>
      </w:r>
      <w:r>
        <w:rPr>
          <w:rFonts w:ascii="Arial" w:cs="Arial" w:eastAsia="Arial" w:hAnsi="Arial"/>
          <w:sz w:val="18"/>
          <w:szCs w:val="18"/>
          <w:color w:val="auto"/>
        </w:rPr>
        <w:t>, including entrance and move animations, motion capture and facial scanning, and more to come.</w:t>
      </w:r>
    </w:p>
    <w:p>
      <w:pPr>
        <w:spacing w:after="0" w:line="215" w:lineRule="exact"/>
        <w:rPr>
          <w:rFonts w:ascii="Arial" w:cs="Arial" w:eastAsia="Arial" w:hAnsi="Arial"/>
          <w:sz w:val="18"/>
          <w:szCs w:val="18"/>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WWE SuperCard </w:t>
      </w:r>
      <w:r>
        <w:rPr>
          <w:rFonts w:ascii="Arial" w:cs="Arial" w:eastAsia="Arial" w:hAnsi="Arial"/>
          <w:sz w:val="18"/>
          <w:szCs w:val="18"/>
          <w:color w:val="auto"/>
        </w:rPr>
        <w:t>offered new content updates, including a John Cena-themed in-game event in June.</w:t>
      </w:r>
    </w:p>
    <w:p>
      <w:pPr>
        <w:spacing w:after="0" w:line="241" w:lineRule="exact"/>
        <w:rPr>
          <w:rFonts w:ascii="Arial" w:cs="Arial" w:eastAsia="Arial" w:hAnsi="Arial"/>
          <w:sz w:val="18"/>
          <w:szCs w:val="18"/>
          <w:color w:val="auto"/>
        </w:rPr>
      </w:pPr>
    </w:p>
    <w:p>
      <w:pPr>
        <w:ind w:left="320" w:right="100" w:hanging="314"/>
        <w:spacing w:after="0" w:line="300"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Announced that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a new franchise from 2K and Gearbox, will be released later this fiscal year. The game is an epic adventure full of whimsy, wonder, and high-powered weaponry set in an unpredictable fantasy world where magic, broadswords, and bullets collide. </w:t>
      </w:r>
      <w:r>
        <w:rPr>
          <w:rFonts w:ascii="Arial" w:cs="Arial" w:eastAsia="Arial" w:hAnsi="Arial"/>
          <w:sz w:val="16"/>
          <w:szCs w:val="16"/>
          <w:i w:val="1"/>
          <w:iCs w:val="1"/>
          <w:color w:val="auto"/>
        </w:rPr>
        <w:t>Tiny Tina’s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Wonderlands </w:t>
      </w:r>
      <w:r>
        <w:rPr>
          <w:rFonts w:ascii="Arial" w:cs="Arial" w:eastAsia="Arial" w:hAnsi="Arial"/>
          <w:sz w:val="16"/>
          <w:szCs w:val="16"/>
          <w:color w:val="auto"/>
        </w:rPr>
        <w:t>is a full experience with a rich, story-driven co-op campaign and repeatable end-game content.</w:t>
      </w:r>
    </w:p>
    <w:p>
      <w:pPr>
        <w:spacing w:after="0" w:line="180" w:lineRule="exact"/>
        <w:rPr>
          <w:rFonts w:ascii="Arial" w:cs="Arial" w:eastAsia="Arial" w:hAnsi="Arial"/>
          <w:sz w:val="16"/>
          <w:szCs w:val="16"/>
          <w:color w:val="auto"/>
        </w:rPr>
      </w:pPr>
    </w:p>
    <w:p>
      <w:pPr>
        <w:ind w:left="320" w:hanging="314"/>
        <w:spacing w:after="0" w:line="253"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Several enhancements were made to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including the introduction of crossplay functionality for Xbox One, Xbox Series X|S, Mac, Stadia, and PC via Steam and the Epic Games Store. Additionally, new limited-time mini-events were introduced, which culminated in the return of the game’s most popular seasonal event, “Revenge of the Cartels.”</w:t>
      </w:r>
    </w:p>
    <w:p>
      <w:pPr>
        <w:spacing w:after="0" w:line="215" w:lineRule="exact"/>
        <w:rPr>
          <w:rFonts w:ascii="Arial" w:cs="Arial" w:eastAsia="Arial" w:hAnsi="Arial"/>
          <w:sz w:val="18"/>
          <w:szCs w:val="18"/>
          <w:color w:val="auto"/>
        </w:rPr>
      </w:pPr>
    </w:p>
    <w:p>
      <w:pPr>
        <w:ind w:left="320" w:right="200" w:hanging="314"/>
        <w:spacing w:after="0" w:line="253"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Released the </w:t>
      </w:r>
      <w:r>
        <w:rPr>
          <w:rFonts w:ascii="Arial" w:cs="Arial" w:eastAsia="Arial" w:hAnsi="Arial"/>
          <w:sz w:val="18"/>
          <w:szCs w:val="18"/>
          <w:i w:val="1"/>
          <w:iCs w:val="1"/>
          <w:color w:val="auto"/>
        </w:rPr>
        <w:t>Borderlands 3: Director’s Cut</w:t>
      </w:r>
      <w:r>
        <w:rPr>
          <w:rFonts w:ascii="Arial" w:cs="Arial" w:eastAsia="Arial" w:hAnsi="Arial"/>
          <w:sz w:val="18"/>
          <w:szCs w:val="18"/>
          <w:color w:val="auto"/>
        </w:rPr>
        <w:t xml:space="preserve"> add-on, which is available for purchase separately and available to download for owners of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Ultimate Edition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Season Pass 2</w:t>
      </w:r>
      <w:r>
        <w:rPr>
          <w:rFonts w:ascii="Arial" w:cs="Arial" w:eastAsia="Arial" w:hAnsi="Arial"/>
          <w:sz w:val="18"/>
          <w:szCs w:val="18"/>
          <w:color w:val="auto"/>
        </w:rPr>
        <w:t>. The</w:t>
      </w:r>
      <w:r>
        <w:rPr>
          <w:rFonts w:ascii="Arial" w:cs="Arial" w:eastAsia="Arial" w:hAnsi="Arial"/>
          <w:sz w:val="18"/>
          <w:szCs w:val="18"/>
          <w:i w:val="1"/>
          <w:iCs w:val="1"/>
          <w:color w:val="auto"/>
        </w:rPr>
        <w:t xml:space="preserve"> Director’s Cut </w:t>
      </w:r>
      <w:r>
        <w:rPr>
          <w:rFonts w:ascii="Arial" w:cs="Arial" w:eastAsia="Arial" w:hAnsi="Arial"/>
          <w:sz w:val="18"/>
          <w:szCs w:val="18"/>
          <w:color w:val="auto"/>
        </w:rPr>
        <w:t>add-on delivered a brand-new raid boss, story-driven murder mystery missions, daily and weekly</w:t>
      </w:r>
      <w:r>
        <w:rPr>
          <w:rFonts w:ascii="Arial" w:cs="Arial" w:eastAsia="Arial" w:hAnsi="Arial"/>
          <w:sz w:val="18"/>
          <w:szCs w:val="18"/>
          <w:i w:val="1"/>
          <w:iCs w:val="1"/>
          <w:color w:val="auto"/>
        </w:rPr>
        <w:t xml:space="preserve"> </w:t>
      </w:r>
      <w:r>
        <w:rPr>
          <w:rFonts w:ascii="Arial" w:cs="Arial" w:eastAsia="Arial" w:hAnsi="Arial"/>
          <w:sz w:val="18"/>
          <w:szCs w:val="18"/>
          <w:color w:val="auto"/>
        </w:rPr>
        <w:t>challenges with unique themed rewards, and never-before-seen behind-the-scenes content.</w:t>
      </w:r>
    </w:p>
    <w:p>
      <w:pPr>
        <w:spacing w:after="0" w:line="215" w:lineRule="exact"/>
        <w:rPr>
          <w:rFonts w:ascii="Arial" w:cs="Arial" w:eastAsia="Arial" w:hAnsi="Arial"/>
          <w:sz w:val="18"/>
          <w:szCs w:val="18"/>
          <w:color w:val="auto"/>
        </w:rPr>
      </w:pPr>
    </w:p>
    <w:p>
      <w:pPr>
        <w:ind w:left="320" w:right="240" w:hanging="314"/>
        <w:spacing w:after="0" w:line="262"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Launched the </w:t>
      </w:r>
      <w:r>
        <w:rPr>
          <w:rFonts w:ascii="Arial" w:cs="Arial" w:eastAsia="Arial" w:hAnsi="Arial"/>
          <w:sz w:val="18"/>
          <w:szCs w:val="18"/>
          <w:i w:val="1"/>
          <w:iCs w:val="1"/>
          <w:color w:val="auto"/>
        </w:rPr>
        <w:t>Sid Meier’s Civilization VI Anthology</w:t>
      </w:r>
      <w:r>
        <w:rPr>
          <w:rFonts w:ascii="Arial" w:cs="Arial" w:eastAsia="Arial" w:hAnsi="Arial"/>
          <w:sz w:val="18"/>
          <w:szCs w:val="18"/>
          <w:color w:val="auto"/>
        </w:rPr>
        <w:t xml:space="preserve"> for Windows PC, which includes </w:t>
      </w:r>
      <w:r>
        <w:rPr>
          <w:rFonts w:ascii="Arial" w:cs="Arial" w:eastAsia="Arial" w:hAnsi="Arial"/>
          <w:sz w:val="18"/>
          <w:szCs w:val="18"/>
          <w:i w:val="1"/>
          <w:iCs w:val="1"/>
          <w:color w:val="auto"/>
        </w:rPr>
        <w:t>Sid Meier’s Civilization VI</w:t>
      </w:r>
      <w:r>
        <w:rPr>
          <w:rFonts w:ascii="Arial" w:cs="Arial" w:eastAsia="Arial" w:hAnsi="Arial"/>
          <w:sz w:val="18"/>
          <w:szCs w:val="18"/>
          <w:color w:val="auto"/>
        </w:rPr>
        <w:t xml:space="preserve">, all DLC packs, all expansions and the </w:t>
      </w:r>
      <w:r>
        <w:rPr>
          <w:rFonts w:ascii="Arial" w:cs="Arial" w:eastAsia="Arial" w:hAnsi="Arial"/>
          <w:sz w:val="18"/>
          <w:szCs w:val="18"/>
          <w:i w:val="1"/>
          <w:iCs w:val="1"/>
          <w:color w:val="auto"/>
        </w:rPr>
        <w:t>New Frontier Pass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Division:</w:t>
      </w:r>
    </w:p>
    <w:p>
      <w:pPr>
        <w:spacing w:after="0" w:line="221" w:lineRule="exact"/>
        <w:rPr>
          <w:sz w:val="20"/>
          <w:szCs w:val="20"/>
          <w:color w:val="auto"/>
        </w:rPr>
      </w:pPr>
    </w:p>
    <w:p>
      <w:pPr>
        <w:ind w:left="320" w:right="60" w:hanging="314"/>
        <w:spacing w:after="0" w:line="325"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Announced that, together with Roll7, it will release </w:t>
      </w:r>
      <w:r>
        <w:rPr>
          <w:rFonts w:ascii="Arial" w:cs="Arial" w:eastAsia="Arial" w:hAnsi="Arial"/>
          <w:sz w:val="16"/>
          <w:szCs w:val="16"/>
          <w:i w:val="1"/>
          <w:iCs w:val="1"/>
          <w:color w:val="auto"/>
        </w:rPr>
        <w:t>OlliOlli World</w:t>
      </w:r>
      <w:r>
        <w:rPr>
          <w:rFonts w:ascii="Arial" w:cs="Arial" w:eastAsia="Arial" w:hAnsi="Arial"/>
          <w:sz w:val="16"/>
          <w:szCs w:val="16"/>
          <w:color w:val="auto"/>
        </w:rPr>
        <w:t xml:space="preserve"> digitally this winter for consoles and PC. This skateboarding action-platformer marks a bold new direction in this critically acclaimed franchise and has received outstanding initial feedback from early media impressions.</w:t>
      </w:r>
    </w:p>
    <w:p>
      <w:pPr>
        <w:spacing w:after="0" w:line="161" w:lineRule="exact"/>
        <w:rPr>
          <w:rFonts w:ascii="Arial" w:cs="Arial" w:eastAsia="Arial" w:hAnsi="Arial"/>
          <w:sz w:val="16"/>
          <w:szCs w:val="16"/>
          <w:color w:val="auto"/>
        </w:rPr>
      </w:pPr>
    </w:p>
    <w:p>
      <w:pPr>
        <w:ind w:left="320" w:right="160" w:hanging="314"/>
        <w:spacing w:after="0" w:line="262"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Announced a partnership with Supergiant Games to release a physical edition of </w:t>
      </w:r>
      <w:r>
        <w:rPr>
          <w:rFonts w:ascii="Arial" w:cs="Arial" w:eastAsia="Arial" w:hAnsi="Arial"/>
          <w:sz w:val="18"/>
          <w:szCs w:val="18"/>
          <w:i w:val="1"/>
          <w:iCs w:val="1"/>
          <w:color w:val="auto"/>
        </w:rPr>
        <w:t>Hades</w:t>
      </w:r>
      <w:r>
        <w:rPr>
          <w:rFonts w:ascii="Arial" w:cs="Arial" w:eastAsia="Arial" w:hAnsi="Arial"/>
          <w:sz w:val="18"/>
          <w:szCs w:val="18"/>
          <w:color w:val="auto"/>
        </w:rPr>
        <w:t xml:space="preserve"> for PlayStation and Xbox consoles. </w:t>
      </w:r>
      <w:r>
        <w:rPr>
          <w:rFonts w:ascii="Arial" w:cs="Arial" w:eastAsia="Arial" w:hAnsi="Arial"/>
          <w:sz w:val="18"/>
          <w:szCs w:val="18"/>
          <w:i w:val="1"/>
          <w:iCs w:val="1"/>
          <w:color w:val="auto"/>
        </w:rPr>
        <w:t>Hades</w:t>
      </w:r>
      <w:r>
        <w:rPr>
          <w:rFonts w:ascii="Arial" w:cs="Arial" w:eastAsia="Arial" w:hAnsi="Arial"/>
          <w:sz w:val="18"/>
          <w:szCs w:val="18"/>
          <w:color w:val="auto"/>
        </w:rPr>
        <w:t xml:space="preserve"> is a winner of over 50 “Game of the Year” awards and has received impressive aggregate scores of 93 on Metacritic and 94 on OpenCritic.</w:t>
      </w:r>
    </w:p>
    <w:p>
      <w:pPr>
        <w:spacing w:after="0" w:line="207" w:lineRule="exact"/>
        <w:rPr>
          <w:rFonts w:ascii="Arial" w:cs="Arial" w:eastAsia="Arial" w:hAnsi="Arial"/>
          <w:sz w:val="18"/>
          <w:szCs w:val="18"/>
          <w:color w:val="auto"/>
        </w:rPr>
      </w:pPr>
    </w:p>
    <w:p>
      <w:pPr>
        <w:ind w:left="320" w:right="100" w:hanging="314"/>
        <w:spacing w:after="0" w:line="262"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Kerbal Space Program </w:t>
      </w:r>
      <w:r>
        <w:rPr>
          <w:rFonts w:ascii="Arial" w:cs="Arial" w:eastAsia="Arial" w:hAnsi="Arial"/>
          <w:sz w:val="18"/>
          <w:szCs w:val="18"/>
          <w:color w:val="auto"/>
        </w:rPr>
        <w:t>recently celebrated its 10-year anniversary, with new offerings for fans, including merchandise and a documentary video detailing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various achievements of the title as well as its impact on the aerospace industry.</w:t>
      </w:r>
    </w:p>
    <w:p>
      <w:pPr>
        <w:spacing w:after="0" w:line="207" w:lineRule="exact"/>
        <w:rPr>
          <w:rFonts w:ascii="Arial" w:cs="Arial" w:eastAsia="Arial" w:hAnsi="Arial"/>
          <w:sz w:val="18"/>
          <w:szCs w:val="18"/>
          <w:color w:val="auto"/>
        </w:rPr>
      </w:pPr>
    </w:p>
    <w:p>
      <w:pPr>
        <w:ind w:left="320" w:right="160" w:hanging="314"/>
        <w:spacing w:after="0" w:line="250"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Announced that it will release </w:t>
      </w:r>
      <w:r>
        <w:rPr>
          <w:rFonts w:ascii="Arial" w:cs="Arial" w:eastAsia="Arial" w:hAnsi="Arial"/>
          <w:sz w:val="18"/>
          <w:szCs w:val="18"/>
          <w:i w:val="1"/>
          <w:iCs w:val="1"/>
          <w:color w:val="auto"/>
        </w:rPr>
        <w:t>Kerbal Space Program Enhanced Edition</w:t>
      </w:r>
      <w:r>
        <w:rPr>
          <w:rFonts w:ascii="Arial" w:cs="Arial" w:eastAsia="Arial" w:hAnsi="Arial"/>
          <w:sz w:val="18"/>
          <w:szCs w:val="18"/>
          <w:color w:val="auto"/>
        </w:rPr>
        <w:t xml:space="preserve"> for PlayStation 5 and Xbox Series X|S this fall. The title will benefit from multiple hardware advancements and developments which allow for an upgraded resolution, improved frame-rate, advanced shaders, better textures, and additional performance improvements. Players who already own </w:t>
      </w:r>
      <w:r>
        <w:rPr>
          <w:rFonts w:ascii="Arial" w:cs="Arial" w:eastAsia="Arial" w:hAnsi="Arial"/>
          <w:sz w:val="18"/>
          <w:szCs w:val="18"/>
          <w:i w:val="1"/>
          <w:iCs w:val="1"/>
          <w:color w:val="auto"/>
        </w:rPr>
        <w:t>Kerbal Space Program Enhanced Edition</w:t>
      </w:r>
      <w:r>
        <w:rPr>
          <w:rFonts w:ascii="Arial" w:cs="Arial" w:eastAsia="Arial" w:hAnsi="Arial"/>
          <w:sz w:val="18"/>
          <w:szCs w:val="18"/>
          <w:color w:val="auto"/>
        </w:rPr>
        <w:t xml:space="preserve"> for Gen 8 consoles are eligible for a free upgrade to the new version of the game upon its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T2 Mobile Games:</w:t>
      </w:r>
    </w:p>
    <w:p>
      <w:pPr>
        <w:spacing w:after="0" w:line="221" w:lineRule="exact"/>
        <w:rPr>
          <w:sz w:val="20"/>
          <w:szCs w:val="20"/>
          <w:color w:val="auto"/>
        </w:rPr>
      </w:pPr>
    </w:p>
    <w:p>
      <w:pPr>
        <w:ind w:left="320" w:right="180" w:hanging="314"/>
        <w:spacing w:after="0" w:line="262"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Take-Two integrated Socialpoint, Playdots, and Nordeus into newly formed “T2 Mobile Games.” This new structure will help Take-Two’s mobile teams achieve cost synergies and share best practices.</w:t>
      </w:r>
    </w:p>
    <w:p>
      <w:pPr>
        <w:spacing w:after="0" w:line="207" w:lineRule="exact"/>
        <w:rPr>
          <w:rFonts w:ascii="Arial" w:cs="Arial" w:eastAsia="Arial" w:hAnsi="Arial"/>
          <w:sz w:val="18"/>
          <w:szCs w:val="18"/>
          <w:color w:val="auto"/>
        </w:rPr>
      </w:pPr>
    </w:p>
    <w:p>
      <w:pPr>
        <w:ind w:left="320" w:right="640" w:hanging="314"/>
        <w:spacing w:after="0" w:line="262"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Many of our mobile games launched new features, challenges, and marketing activations to drive player engagement. Our studios will continue to introduce new enhancements to their games this year to further optimize the player experience.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Fiscal 2022</w:t>
      </w:r>
    </w:p>
    <w:p>
      <w:pPr>
        <w:spacing w:after="0" w:line="2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Take-Two is reiterating its outlook for the fiscal year ending March 31, 2022 and providing its initial outlook for its fiscal second quarter ending September 30, 2021:</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Fiscal Year Ending March 31, 2022</w:t>
      </w:r>
    </w:p>
    <w:p>
      <w:pPr>
        <w:spacing w:after="0" w:line="215"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GAAP net revenue is expected to range from $3.14 to $3.24 billion</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GAAP net income is expected to range from $229 to $259 million</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$1.95 to $2.20</w:t>
      </w:r>
    </w:p>
    <w:p>
      <w:pPr>
        <w:spacing w:after="0" w:line="223"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35"/>
          <w:szCs w:val="35"/>
          <w:color w:val="auto"/>
          <w:vertAlign w:val="superscript"/>
        </w:rPr>
      </w:pPr>
      <w:r>
        <w:rPr>
          <w:rFonts w:ascii="Arial" w:cs="Arial" w:eastAsia="Arial" w:hAnsi="Arial"/>
          <w:sz w:val="18"/>
          <w:szCs w:val="18"/>
          <w:color w:val="auto"/>
        </w:rPr>
        <w:t xml:space="preserve">Share count used to calculate both GAAP and management reporting diluted net income per share is expected to be 117.4 million </w:t>
      </w:r>
      <w:r>
        <w:rPr>
          <w:rFonts w:ascii="Arial" w:cs="Arial" w:eastAsia="Arial" w:hAnsi="Arial"/>
          <w:sz w:val="29"/>
          <w:szCs w:val="29"/>
          <w:color w:val="auto"/>
          <w:vertAlign w:val="superscript"/>
        </w:rPr>
        <w:t>(1)</w:t>
      </w:r>
    </w:p>
    <w:p>
      <w:pPr>
        <w:spacing w:after="0" w:line="103" w:lineRule="exact"/>
        <w:rPr>
          <w:rFonts w:ascii="Arial" w:cs="Arial" w:eastAsia="Arial" w:hAnsi="Arial"/>
          <w:sz w:val="35"/>
          <w:szCs w:val="35"/>
          <w:color w:val="auto"/>
          <w:vertAlign w:val="superscript"/>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$380 million</w:t>
      </w:r>
    </w:p>
    <w:p>
      <w:pPr>
        <w:spacing w:after="0" w:line="223"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35"/>
          <w:szCs w:val="35"/>
          <w:color w:val="auto"/>
          <w:vertAlign w:val="superscript"/>
        </w:rPr>
      </w:pPr>
      <w:r>
        <w:rPr>
          <w:rFonts w:ascii="Arial" w:cs="Arial" w:eastAsia="Arial" w:hAnsi="Arial"/>
          <w:sz w:val="18"/>
          <w:szCs w:val="18"/>
          <w:color w:val="auto"/>
        </w:rPr>
        <w:t xml:space="preserve">Adjusted Unrestricted Operating Cash Flow (Non-GAAP) is expected to be over $400 million </w:t>
      </w:r>
      <w:r>
        <w:rPr>
          <w:rFonts w:ascii="Arial" w:cs="Arial" w:eastAsia="Arial" w:hAnsi="Arial"/>
          <w:sz w:val="29"/>
          <w:szCs w:val="29"/>
          <w:color w:val="auto"/>
          <w:vertAlign w:val="superscript"/>
        </w:rPr>
        <w:t>(2)</w:t>
      </w:r>
    </w:p>
    <w:p>
      <w:pPr>
        <w:spacing w:after="0" w:line="103" w:lineRule="exact"/>
        <w:rPr>
          <w:rFonts w:ascii="Arial" w:cs="Arial" w:eastAsia="Arial" w:hAnsi="Arial"/>
          <w:sz w:val="35"/>
          <w:szCs w:val="35"/>
          <w:color w:val="auto"/>
          <w:vertAlign w:val="superscript"/>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$170 million</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$3.2 to $3.3 billion</w:t>
      </w:r>
    </w:p>
    <w:p>
      <w:pPr>
        <w:spacing w:after="0" w:line="215"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b w:val="1"/>
                <w:bCs w:val="1"/>
                <w:color w:val="auto"/>
                <w:w w:val="92"/>
              </w:rPr>
              <w:t>Twelve Months Ending March 31, 2022</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8"/>
              </w:rPr>
              <w:t>Change in deferred</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32"/>
              <w:spacing w:after="0" w:line="205" w:lineRule="exact"/>
              <w:rPr>
                <w:sz w:val="20"/>
                <w:szCs w:val="20"/>
                <w:color w:val="auto"/>
              </w:rPr>
            </w:pPr>
            <w:r>
              <w:rPr>
                <w:rFonts w:ascii="Arial" w:cs="Arial" w:eastAsia="Arial" w:hAnsi="Arial"/>
                <w:sz w:val="18"/>
                <w:szCs w:val="18"/>
                <w:b w:val="1"/>
                <w:bCs w:val="1"/>
                <w:color w:val="auto"/>
              </w:rPr>
              <w:t>Financial Data</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140"/>
              <w:spacing w:after="0" w:line="186" w:lineRule="exact"/>
              <w:rPr>
                <w:sz w:val="20"/>
                <w:szCs w:val="20"/>
                <w:color w:val="auto"/>
              </w:rPr>
            </w:pPr>
            <w:r>
              <w:rPr>
                <w:rFonts w:ascii="Arial" w:cs="Arial" w:eastAsia="Arial" w:hAnsi="Arial"/>
                <w:sz w:val="18"/>
                <w:szCs w:val="18"/>
                <w:b w:val="1"/>
                <w:bCs w:val="1"/>
                <w:color w:val="auto"/>
                <w:w w:val="89"/>
              </w:rPr>
              <w:t>Gain on long</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net revenue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w:t>
            </w:r>
          </w:p>
        </w:tc>
        <w:tc>
          <w:tcPr>
            <w:tcW w:w="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Amortization</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87"/>
              </w:rPr>
              <w:t xml:space="preserve">GAAP outlook </w:t>
            </w:r>
            <w:r>
              <w:rPr>
                <w:rFonts w:ascii="Arial" w:cs="Arial" w:eastAsia="Arial" w:hAnsi="Arial"/>
                <w:sz w:val="29"/>
                <w:szCs w:val="29"/>
                <w:b w:val="1"/>
                <w:bCs w:val="1"/>
                <w:color w:val="auto"/>
                <w:w w:val="87"/>
                <w:vertAlign w:val="superscript"/>
              </w:rPr>
              <w:t>(3)</w:t>
            </w: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related cost of goods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2"/>
              </w:rPr>
              <w:t>Stock-based</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of Intangible</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Reorganization</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060" w:type="dxa"/>
            <w:vAlign w:val="bottom"/>
          </w:tcPr>
          <w:p>
            <w:pPr>
              <w:jc w:val="center"/>
              <w:ind w:left="392"/>
              <w:spacing w:after="0"/>
              <w:rPr>
                <w:sz w:val="20"/>
                <w:szCs w:val="20"/>
                <w:color w:val="auto"/>
              </w:rPr>
            </w:pPr>
            <w:r>
              <w:rPr>
                <w:rFonts w:ascii="Arial" w:cs="Arial" w:eastAsia="Arial" w:hAnsi="Arial"/>
                <w:sz w:val="18"/>
                <w:szCs w:val="18"/>
                <w:b w:val="1"/>
                <w:bCs w:val="1"/>
                <w:color w:val="auto"/>
                <w:w w:val="80"/>
              </w:rPr>
              <w:t>sold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6"/>
              </w:rPr>
              <w:t>compensation</w:t>
            </w:r>
          </w:p>
        </w:tc>
        <w:tc>
          <w:tcPr>
            <w:tcW w:w="22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net</w:t>
            </w:r>
          </w:p>
        </w:tc>
        <w:tc>
          <w:tcPr>
            <w:tcW w:w="80" w:type="dxa"/>
            <w:vAlign w:val="bottom"/>
          </w:tcPr>
          <w:p>
            <w:pPr>
              <w:spacing w:after="0"/>
              <w:rPr>
                <w:sz w:val="19"/>
                <w:szCs w:val="19"/>
                <w:color w:val="auto"/>
              </w:rPr>
            </w:pPr>
          </w:p>
        </w:tc>
        <w:tc>
          <w:tcPr>
            <w:tcW w:w="820" w:type="dxa"/>
            <w:vAlign w:val="bottom"/>
          </w:tcPr>
          <w:p>
            <w:pPr>
              <w:jc w:val="center"/>
              <w:ind w:left="192"/>
              <w:spacing w:after="0"/>
              <w:rPr>
                <w:sz w:val="20"/>
                <w:szCs w:val="20"/>
                <w:color w:val="auto"/>
              </w:rPr>
            </w:pPr>
            <w:r>
              <w:rPr>
                <w:rFonts w:ascii="Arial" w:cs="Arial" w:eastAsia="Arial" w:hAnsi="Arial"/>
                <w:sz w:val="18"/>
                <w:szCs w:val="18"/>
                <w:b w:val="1"/>
                <w:bCs w:val="1"/>
                <w:color w:val="auto"/>
                <w:w w:val="77"/>
              </w:rPr>
              <w:t>Assets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&amp; Acquisition</w:t>
            </w:r>
          </w:p>
        </w:tc>
        <w:tc>
          <w:tcPr>
            <w:tcW w:w="0" w:type="dxa"/>
            <w:vAlign w:val="bottom"/>
          </w:tcPr>
          <w:p>
            <w:pPr>
              <w:spacing w:after="0"/>
              <w:rPr>
                <w:sz w:val="1"/>
                <w:szCs w:val="1"/>
                <w:color w:val="auto"/>
              </w:rPr>
            </w:pPr>
          </w:p>
        </w:tc>
      </w:tr>
      <w:tr>
        <w:trPr>
          <w:trHeight w:val="204"/>
        </w:trPr>
        <w:tc>
          <w:tcPr>
            <w:tcW w:w="26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87"/>
              </w:rPr>
              <w:t>$3,140 to $3,240</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$1,399 to $1,444</w:t>
            </w: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(48)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$1,481 to $1,501</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(12)</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other,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Income (loss)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$263 to $298</w:t>
            </w: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Ending September 30, 2021</w:t>
      </w:r>
    </w:p>
    <w:p>
      <w:pPr>
        <w:spacing w:after="0" w:line="215"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GAAP net revenue is expected to range from $740 to $790 million</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GAAP net income is expected to range from $41 to $53 million</w:t>
      </w:r>
    </w:p>
    <w:p>
      <w:pPr>
        <w:spacing w:after="0" w:line="24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$0.35 to $0.45</w:t>
      </w:r>
    </w:p>
    <w:p>
      <w:pPr>
        <w:spacing w:after="0" w:line="223"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35"/>
          <w:szCs w:val="35"/>
          <w:color w:val="auto"/>
          <w:vertAlign w:val="superscript"/>
        </w:rPr>
      </w:pPr>
      <w:r>
        <w:rPr>
          <w:rFonts w:ascii="Arial" w:cs="Arial" w:eastAsia="Arial" w:hAnsi="Arial"/>
          <w:sz w:val="18"/>
          <w:szCs w:val="18"/>
          <w:color w:val="auto"/>
        </w:rPr>
        <w:t xml:space="preserve">Share count used to calculate both GAAP and management reporting diluted net income per share is expected to be 117.3 million </w:t>
      </w:r>
      <w:r>
        <w:rPr>
          <w:rFonts w:ascii="Arial" w:cs="Arial" w:eastAsia="Arial" w:hAnsi="Arial"/>
          <w:sz w:val="29"/>
          <w:szCs w:val="29"/>
          <w:color w:val="auto"/>
          <w:vertAlign w:val="superscript"/>
        </w:rPr>
        <w:t>(4)</w:t>
      </w:r>
    </w:p>
    <w:p>
      <w:pPr>
        <w:spacing w:after="0" w:line="103" w:lineRule="exact"/>
        <w:rPr>
          <w:rFonts w:ascii="Arial" w:cs="Arial" w:eastAsia="Arial" w:hAnsi="Arial"/>
          <w:sz w:val="35"/>
          <w:szCs w:val="35"/>
          <w:color w:val="auto"/>
          <w:vertAlign w:val="superscript"/>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$815 to $865 million</w:t>
      </w:r>
    </w:p>
    <w:p>
      <w:pPr>
        <w:spacing w:after="0" w:line="215"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9"/>
          </w:tcPr>
          <w:p>
            <w:pPr>
              <w:jc w:val="center"/>
              <w:ind w:left="912"/>
              <w:spacing w:after="0"/>
              <w:rPr>
                <w:sz w:val="20"/>
                <w:szCs w:val="20"/>
                <w:color w:val="auto"/>
              </w:rPr>
            </w:pPr>
            <w:r>
              <w:rPr>
                <w:rFonts w:ascii="Arial" w:cs="Arial" w:eastAsia="Arial" w:hAnsi="Arial"/>
                <w:sz w:val="18"/>
                <w:szCs w:val="18"/>
                <w:b w:val="1"/>
                <w:bCs w:val="1"/>
                <w:color w:val="auto"/>
                <w:w w:val="88"/>
              </w:rPr>
              <w:t>Three Months Ending September 30, 2021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1"/>
              </w:rPr>
              <w:t>Financial Data</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89"/>
              </w:rPr>
              <w:t>Change in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deferred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revenue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acquired</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6"/>
              </w:rPr>
              <w:t xml:space="preserve">GAAP outlook </w:t>
            </w:r>
            <w:r>
              <w:rPr>
                <w:rFonts w:ascii="Arial" w:cs="Arial" w:eastAsia="Arial" w:hAnsi="Arial"/>
                <w:sz w:val="29"/>
                <w:szCs w:val="29"/>
                <w:b w:val="1"/>
                <w:bCs w:val="1"/>
                <w:color w:val="auto"/>
                <w:w w:val="86"/>
                <w:vertAlign w:val="superscript"/>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related cost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Stock-based</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intangible</w:t>
            </w: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1"/>
              </w:rPr>
              <w:t>goods sold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compensation</w:t>
            </w: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assets</w:t>
            </w:r>
          </w:p>
        </w:tc>
        <w:tc>
          <w:tcPr>
            <w:tcW w:w="0" w:type="dxa"/>
            <w:vAlign w:val="bottom"/>
          </w:tcPr>
          <w:p>
            <w:pPr>
              <w:spacing w:after="0"/>
              <w:rPr>
                <w:sz w:val="1"/>
                <w:szCs w:val="1"/>
                <w:color w:val="auto"/>
              </w:rPr>
            </w:pPr>
          </w:p>
        </w:tc>
      </w:tr>
      <w:tr>
        <w:trPr>
          <w:trHeight w:val="204"/>
        </w:trPr>
        <w:tc>
          <w:tcPr>
            <w:tcW w:w="54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$740 to $790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center"/>
              <w:ind w:left="852"/>
              <w:spacing w:after="0" w:line="204" w:lineRule="exact"/>
              <w:rPr>
                <w:sz w:val="20"/>
                <w:szCs w:val="20"/>
                <w:color w:val="auto"/>
              </w:rPr>
            </w:pPr>
            <w:r>
              <w:rPr>
                <w:rFonts w:ascii="Arial" w:cs="Arial" w:eastAsia="Arial" w:hAnsi="Arial"/>
                <w:sz w:val="18"/>
                <w:szCs w:val="18"/>
                <w:b w:val="1"/>
                <w:bCs w:val="1"/>
                <w:color w:val="auto"/>
                <w:w w:val="79"/>
              </w:rPr>
              <w:t>75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$323 to $349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center"/>
              <w:ind w:left="852"/>
              <w:spacing w:after="0"/>
              <w:rPr>
                <w:sz w:val="20"/>
                <w:szCs w:val="20"/>
                <w:color w:val="auto"/>
              </w:rPr>
            </w:pPr>
            <w:r>
              <w:rPr>
                <w:rFonts w:ascii="Arial" w:cs="Arial" w:eastAsia="Arial" w:hAnsi="Arial"/>
                <w:sz w:val="18"/>
                <w:szCs w:val="18"/>
                <w:b w:val="1"/>
                <w:bCs w:val="1"/>
                <w:color w:val="auto"/>
                <w:w w:val="79"/>
              </w:rPr>
              <w:t>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 to $378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and other,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 to $63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center"/>
              <w:ind w:left="852"/>
              <w:spacing w:after="0"/>
              <w:rPr>
                <w:sz w:val="20"/>
                <w:szCs w:val="20"/>
                <w:color w:val="auto"/>
              </w:rPr>
            </w:pPr>
            <w:r>
              <w:rPr>
                <w:rFonts w:ascii="Arial" w:cs="Arial" w:eastAsia="Arial" w:hAnsi="Arial"/>
                <w:sz w:val="18"/>
                <w:szCs w:val="18"/>
                <w:b w:val="1"/>
                <w:bCs w:val="1"/>
                <w:color w:val="auto"/>
                <w:w w:val="79"/>
              </w:rPr>
              <w:t>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2" w:right="339" w:bottom="0" w:gutter="0" w:footer="0" w:header="0"/>
        </w:sectPr>
      </w:pPr>
    </w:p>
    <w:bookmarkStart w:id="9" w:name="page10"/>
    <w:bookmarkEnd w:id="9"/>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39370</wp:posOffset>
            </wp:positionV>
            <wp:extent cx="7135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 w:name="page11"/>
    <w:bookmarkEnd w:id="10"/>
    <w:p>
      <w:pPr>
        <w:ind w:left="700" w:hanging="32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116.3 million basic shares and 1.1 million shares representing the potential dilution from unvested employee stock grants.</w:t>
      </w:r>
    </w:p>
    <w:p>
      <w:pPr>
        <w:spacing w:after="0" w:line="15" w:lineRule="exact"/>
        <w:rPr>
          <w:rFonts w:ascii="Arial" w:cs="Arial" w:eastAsia="Arial" w:hAnsi="Arial"/>
          <w:sz w:val="18"/>
          <w:szCs w:val="18"/>
          <w:color w:val="auto"/>
        </w:rPr>
      </w:pPr>
    </w:p>
    <w:p>
      <w:pPr>
        <w:ind w:left="700" w:hanging="32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for changes in restricted cash.</w:t>
      </w:r>
    </w:p>
    <w:p>
      <w:pPr>
        <w:spacing w:after="0" w:line="4" w:lineRule="exact"/>
        <w:rPr>
          <w:rFonts w:ascii="Arial" w:cs="Arial" w:eastAsia="Arial" w:hAnsi="Arial"/>
          <w:sz w:val="18"/>
          <w:szCs w:val="18"/>
          <w:color w:val="auto"/>
        </w:rPr>
      </w:pPr>
    </w:p>
    <w:p>
      <w:pPr>
        <w:ind w:left="700" w:right="220" w:hanging="325"/>
        <w:spacing w:after="0" w:line="24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spacing w:after="0" w:line="1" w:lineRule="exact"/>
        <w:rPr>
          <w:rFonts w:ascii="Arial" w:cs="Arial" w:eastAsia="Arial" w:hAnsi="Arial"/>
          <w:sz w:val="18"/>
          <w:szCs w:val="18"/>
          <w:color w:val="auto"/>
        </w:rPr>
      </w:pPr>
    </w:p>
    <w:p>
      <w:pPr>
        <w:ind w:left="700" w:hanging="32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116.4 million basic shares and 0.9 million shares representing the potential dilution from unvested employee stock grants.</w:t>
      </w:r>
    </w:p>
    <w:p>
      <w:pPr>
        <w:spacing w:after="0" w:line="203" w:lineRule="exact"/>
        <w:rPr>
          <w:sz w:val="20"/>
          <w:szCs w:val="20"/>
          <w:color w:val="auto"/>
        </w:rPr>
      </w:pPr>
    </w:p>
    <w:p>
      <w:pPr>
        <w:ind w:right="160"/>
        <w:spacing w:after="0" w:line="316" w:lineRule="auto"/>
        <w:rPr>
          <w:sz w:val="20"/>
          <w:szCs w:val="20"/>
          <w:color w:val="auto"/>
        </w:rPr>
      </w:pPr>
      <w:r>
        <w:rPr>
          <w:rFonts w:ascii="Arial" w:cs="Arial" w:eastAsia="Arial" w:hAnsi="Arial"/>
          <w:sz w:val="15"/>
          <w:szCs w:val="15"/>
          <w:color w:val="auto"/>
        </w:rPr>
        <w:t>Key assumptions and dependencies underlying the Company’s outlook include: the timely delivery of the titles included in this financial outlook; a stable economic environment; continued consumer acceptance of Xbox One and PlayStation 4, as well as continued growth in the installed base of PlayStation 5 and Xbox Series X|S; the ability to develop and publish products that capture market share for these current generation systems while also leveraging opportunities on PC, mobile and other platforms; and stable foreign exchange rates. See also “Cautionary Note Regarding Forward Looking Statements”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titles have been released since April 1, 2021:</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44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Label</w:t>
            </w:r>
          </w:p>
        </w:tc>
        <w:tc>
          <w:tcPr>
            <w:tcW w:w="40" w:type="dxa"/>
            <w:vAlign w:val="bottom"/>
            <w:tcBorders>
              <w:top w:val="single" w:sz="8" w:color="auto"/>
              <w:bottom w:val="single" w:sz="8" w:color="auto"/>
            </w:tcBorders>
          </w:tcPr>
          <w:p>
            <w:pPr>
              <w:spacing w:after="0"/>
              <w:rPr>
                <w:sz w:val="19"/>
                <w:szCs w:val="19"/>
                <w:color w:val="auto"/>
              </w:rPr>
            </w:pPr>
          </w:p>
        </w:tc>
        <w:tc>
          <w:tcPr>
            <w:tcW w:w="35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Title</w:t>
            </w:r>
          </w:p>
        </w:tc>
        <w:tc>
          <w:tcPr>
            <w:tcW w:w="7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right w:val="single" w:sz="8" w:color="auto"/>
            </w:tcBorders>
          </w:tcPr>
          <w:p>
            <w:pPr>
              <w:spacing w:after="0"/>
              <w:rPr>
                <w:sz w:val="19"/>
                <w:szCs w:val="19"/>
                <w:color w:val="auto"/>
              </w:rPr>
            </w:pPr>
          </w:p>
        </w:tc>
        <w:tc>
          <w:tcPr>
            <w:tcW w:w="3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Platforms</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13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Release Date</w:t>
            </w:r>
          </w:p>
        </w:tc>
        <w:tc>
          <w:tcPr>
            <w:tcW w:w="120" w:type="dxa"/>
            <w:vAlign w:val="bottom"/>
          </w:tcPr>
          <w:p>
            <w:pPr>
              <w:spacing w:after="0"/>
              <w:rPr>
                <w:sz w:val="19"/>
                <w:szCs w:val="19"/>
                <w:color w:val="auto"/>
              </w:rPr>
            </w:pPr>
          </w:p>
        </w:tc>
      </w:tr>
      <w:tr>
        <w:trPr>
          <w:trHeight w:val="204"/>
        </w:trPr>
        <w:tc>
          <w:tcPr>
            <w:tcW w:w="1440" w:type="dxa"/>
            <w:vAlign w:val="bottom"/>
            <w:tcBorders>
              <w:left w:val="single" w:sz="8" w:color="auto"/>
              <w:bottom w:val="single" w:sz="8" w:color="auto"/>
              <w:right w:val="single" w:sz="8" w:color="auto"/>
            </w:tcBorders>
            <w:gridSpan w:val="4"/>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3"/>
          </w:tcPr>
          <w:p>
            <w:pPr>
              <w:ind w:left="60"/>
              <w:spacing w:after="0" w:line="204" w:lineRule="exact"/>
              <w:rPr>
                <w:sz w:val="20"/>
                <w:szCs w:val="20"/>
                <w:color w:val="auto"/>
              </w:rPr>
            </w:pPr>
            <w:r>
              <w:rPr>
                <w:rFonts w:ascii="Arial" w:cs="Arial" w:eastAsia="Arial" w:hAnsi="Arial"/>
                <w:sz w:val="18"/>
                <w:szCs w:val="18"/>
                <w:i w:val="1"/>
                <w:iCs w:val="1"/>
                <w:color w:val="auto"/>
              </w:rPr>
              <w:t>NBA 2K21 Arcade Edition</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iOS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tcPr>
          <w:p>
            <w:pPr>
              <w:ind w:left="100"/>
              <w:spacing w:after="0" w:line="204" w:lineRule="exact"/>
              <w:rPr>
                <w:sz w:val="20"/>
                <w:szCs w:val="20"/>
                <w:color w:val="auto"/>
              </w:rPr>
            </w:pPr>
            <w:r>
              <w:rPr>
                <w:rFonts w:ascii="Arial" w:cs="Arial" w:eastAsia="Arial" w:hAnsi="Arial"/>
                <w:sz w:val="18"/>
                <w:szCs w:val="18"/>
                <w:color w:val="auto"/>
              </w:rPr>
              <w:t>April 2, 2021</w:t>
            </w:r>
          </w:p>
        </w:tc>
        <w:tc>
          <w:tcPr>
            <w:tcW w:w="120" w:type="dxa"/>
            <w:vAlign w:val="bottom"/>
          </w:tcPr>
          <w:p>
            <w:pPr>
              <w:spacing w:after="0"/>
              <w:rPr>
                <w:sz w:val="17"/>
                <w:szCs w:val="17"/>
                <w:color w:val="auto"/>
              </w:rPr>
            </w:pPr>
          </w:p>
        </w:tc>
      </w:tr>
      <w:tr>
        <w:trPr>
          <w:trHeight w:val="204"/>
        </w:trPr>
        <w:tc>
          <w:tcPr>
            <w:tcW w:w="1440" w:type="dxa"/>
            <w:vAlign w:val="bottom"/>
            <w:tcBorders>
              <w:left w:val="single" w:sz="8" w:color="auto"/>
              <w:bottom w:val="single" w:sz="8" w:color="auto"/>
              <w:right w:val="single" w:sz="8" w:color="auto"/>
            </w:tcBorders>
            <w:gridSpan w:val="4"/>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5"/>
          </w:tcPr>
          <w:p>
            <w:pPr>
              <w:ind w:left="60"/>
              <w:spacing w:after="0" w:line="204" w:lineRule="exact"/>
              <w:rPr>
                <w:sz w:val="20"/>
                <w:szCs w:val="20"/>
                <w:color w:val="auto"/>
              </w:rPr>
            </w:pPr>
            <w:r>
              <w:rPr>
                <w:rFonts w:ascii="Arial" w:cs="Arial" w:eastAsia="Arial" w:hAnsi="Arial"/>
                <w:sz w:val="18"/>
                <w:szCs w:val="18"/>
                <w:i w:val="1"/>
                <w:iCs w:val="1"/>
                <w:color w:val="auto"/>
                <w:w w:val="97"/>
              </w:rPr>
              <w:t xml:space="preserve">Borderlands 3 - Director's Cut </w:t>
            </w:r>
            <w:r>
              <w:rPr>
                <w:rFonts w:ascii="Arial" w:cs="Arial" w:eastAsia="Arial" w:hAnsi="Arial"/>
                <w:sz w:val="18"/>
                <w:szCs w:val="18"/>
                <w:color w:val="auto"/>
                <w:w w:val="97"/>
              </w:rPr>
              <w:t>(part of</w:t>
            </w:r>
            <w:r>
              <w:rPr>
                <w:rFonts w:ascii="Arial" w:cs="Arial" w:eastAsia="Arial" w:hAnsi="Arial"/>
                <w:sz w:val="18"/>
                <w:szCs w:val="18"/>
                <w:i w:val="1"/>
                <w:iCs w:val="1"/>
                <w:color w:val="auto"/>
                <w:w w:val="97"/>
              </w:rPr>
              <w:t xml:space="preserve"> Season Pass 2 </w:t>
            </w:r>
            <w:r>
              <w:rPr>
                <w:rFonts w:ascii="Arial" w:cs="Arial" w:eastAsia="Arial" w:hAnsi="Arial"/>
                <w:sz w:val="18"/>
                <w:szCs w:val="18"/>
                <w:color w:val="auto"/>
                <w:w w:val="97"/>
              </w:rPr>
              <w:t>DLC)</w:t>
            </w:r>
          </w:p>
        </w:tc>
        <w:tc>
          <w:tcPr>
            <w:tcW w:w="3760" w:type="dxa"/>
            <w:vAlign w:val="bottom"/>
            <w:tcBorders>
              <w:bottom w:val="single" w:sz="8" w:color="auto"/>
              <w:right w:val="single" w:sz="8" w:color="auto"/>
            </w:tcBorders>
            <w:gridSpan w:val="3"/>
          </w:tcPr>
          <w:p>
            <w:pPr>
              <w:ind w:left="100"/>
              <w:spacing w:after="0" w:line="204" w:lineRule="exact"/>
              <w:rPr>
                <w:sz w:val="20"/>
                <w:szCs w:val="20"/>
                <w:color w:val="auto"/>
              </w:rPr>
            </w:pPr>
            <w:r>
              <w:rPr>
                <w:rFonts w:ascii="Arial" w:cs="Arial" w:eastAsia="Arial" w:hAnsi="Arial"/>
                <w:sz w:val="18"/>
                <w:szCs w:val="18"/>
                <w:color w:val="auto"/>
                <w:w w:val="89"/>
              </w:rPr>
              <w:t>PS4, PS5, Xbox One, Xbox Series X|S, PC, Stadia</w:t>
            </w:r>
          </w:p>
        </w:tc>
        <w:tc>
          <w:tcPr>
            <w:tcW w:w="1300" w:type="dxa"/>
            <w:vAlign w:val="bottom"/>
            <w:tcBorders>
              <w:bottom w:val="single" w:sz="8" w:color="auto"/>
              <w:right w:val="single" w:sz="8" w:color="auto"/>
            </w:tcBorders>
            <w:gridSpan w:val="2"/>
          </w:tcPr>
          <w:p>
            <w:pPr>
              <w:ind w:left="100"/>
              <w:spacing w:after="0" w:line="204" w:lineRule="exact"/>
              <w:rPr>
                <w:sz w:val="20"/>
                <w:szCs w:val="20"/>
                <w:color w:val="auto"/>
              </w:rPr>
            </w:pPr>
            <w:r>
              <w:rPr>
                <w:rFonts w:ascii="Arial" w:cs="Arial" w:eastAsia="Arial" w:hAnsi="Arial"/>
                <w:sz w:val="18"/>
                <w:szCs w:val="18"/>
                <w:color w:val="auto"/>
              </w:rPr>
              <w:t>April 8, 2021</w:t>
            </w:r>
          </w:p>
        </w:tc>
        <w:tc>
          <w:tcPr>
            <w:tcW w:w="120" w:type="dxa"/>
            <w:vAlign w:val="bottom"/>
          </w:tcPr>
          <w:p>
            <w:pPr>
              <w:spacing w:after="0"/>
              <w:rPr>
                <w:sz w:val="17"/>
                <w:szCs w:val="17"/>
                <w:color w:val="auto"/>
              </w:rPr>
            </w:pPr>
          </w:p>
        </w:tc>
      </w:tr>
      <w:tr>
        <w:trPr>
          <w:trHeight w:val="204"/>
        </w:trPr>
        <w:tc>
          <w:tcPr>
            <w:tcW w:w="1440" w:type="dxa"/>
            <w:vAlign w:val="bottom"/>
            <w:tcBorders>
              <w:left w:val="single" w:sz="8" w:color="auto"/>
              <w:bottom w:val="single" w:sz="8" w:color="auto"/>
              <w:right w:val="single" w:sz="8" w:color="auto"/>
            </w:tcBorders>
            <w:gridSpan w:val="4"/>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3"/>
          </w:tcPr>
          <w:p>
            <w:pPr>
              <w:ind w:left="60"/>
              <w:spacing w:after="0" w:line="204" w:lineRule="exact"/>
              <w:rPr>
                <w:sz w:val="20"/>
                <w:szCs w:val="20"/>
                <w:color w:val="auto"/>
              </w:rPr>
            </w:pPr>
            <w:r>
              <w:rPr>
                <w:rFonts w:ascii="Arial" w:cs="Arial" w:eastAsia="Arial" w:hAnsi="Arial"/>
                <w:sz w:val="18"/>
                <w:szCs w:val="18"/>
                <w:i w:val="1"/>
                <w:iCs w:val="1"/>
                <w:color w:val="auto"/>
              </w:rPr>
              <w:t>Civilization VI Anthology</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Windows PC</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tcPr>
          <w:p>
            <w:pPr>
              <w:ind w:left="100"/>
              <w:spacing w:after="0" w:line="204" w:lineRule="exact"/>
              <w:rPr>
                <w:sz w:val="20"/>
                <w:szCs w:val="20"/>
                <w:color w:val="auto"/>
              </w:rPr>
            </w:pPr>
            <w:r>
              <w:rPr>
                <w:rFonts w:ascii="Arial" w:cs="Arial" w:eastAsia="Arial" w:hAnsi="Arial"/>
                <w:sz w:val="18"/>
                <w:szCs w:val="18"/>
                <w:color w:val="auto"/>
              </w:rPr>
              <w:t>June 10, 2021</w:t>
            </w:r>
          </w:p>
        </w:tc>
        <w:tc>
          <w:tcPr>
            <w:tcW w:w="120" w:type="dxa"/>
            <w:vAlign w:val="bottom"/>
          </w:tcPr>
          <w:p>
            <w:pPr>
              <w:spacing w:after="0"/>
              <w:rPr>
                <w:sz w:val="17"/>
                <w:szCs w:val="17"/>
                <w:color w:val="auto"/>
              </w:rPr>
            </w:pPr>
          </w:p>
        </w:tc>
      </w:tr>
      <w:tr>
        <w:trPr>
          <w:trHeight w:val="204"/>
        </w:trPr>
        <w:tc>
          <w:tcPr>
            <w:tcW w:w="1440" w:type="dxa"/>
            <w:vAlign w:val="bottom"/>
            <w:tcBorders>
              <w:left w:val="single" w:sz="8" w:color="auto"/>
              <w:bottom w:val="single" w:sz="8" w:color="auto"/>
              <w:right w:val="single" w:sz="8" w:color="auto"/>
            </w:tcBorders>
            <w:gridSpan w:val="4"/>
          </w:tcPr>
          <w:p>
            <w:pPr>
              <w:ind w:left="120"/>
              <w:spacing w:after="0" w:line="204" w:lineRule="exact"/>
              <w:rPr>
                <w:sz w:val="20"/>
                <w:szCs w:val="20"/>
                <w:color w:val="auto"/>
              </w:rPr>
            </w:pPr>
            <w:r>
              <w:rPr>
                <w:rFonts w:ascii="Arial" w:cs="Arial" w:eastAsia="Arial" w:hAnsi="Arial"/>
                <w:sz w:val="18"/>
                <w:szCs w:val="18"/>
                <w:color w:val="auto"/>
                <w:w w:val="95"/>
              </w:rPr>
              <w:t>Rockstar Games</w:t>
            </w:r>
          </w:p>
        </w:tc>
        <w:tc>
          <w:tcPr>
            <w:tcW w:w="4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5"/>
          </w:tcPr>
          <w:p>
            <w:pPr>
              <w:ind w:left="60"/>
              <w:spacing w:after="0" w:line="204" w:lineRule="exact"/>
              <w:rPr>
                <w:sz w:val="20"/>
                <w:szCs w:val="20"/>
                <w:color w:val="auto"/>
              </w:rPr>
            </w:pPr>
            <w:r>
              <w:rPr>
                <w:rFonts w:ascii="Arial" w:cs="Arial" w:eastAsia="Arial" w:hAnsi="Arial"/>
                <w:sz w:val="18"/>
                <w:szCs w:val="18"/>
                <w:i w:val="1"/>
                <w:iCs w:val="1"/>
                <w:color w:val="auto"/>
              </w:rPr>
              <w:t xml:space="preserve">Red Dead Redemption Online: Blood Money </w:t>
            </w:r>
            <w:r>
              <w:rPr>
                <w:rFonts w:ascii="Arial" w:cs="Arial" w:eastAsia="Arial" w:hAnsi="Arial"/>
                <w:sz w:val="18"/>
                <w:szCs w:val="18"/>
                <w:color w:val="auto"/>
              </w:rPr>
              <w:t>Update</w:t>
            </w:r>
          </w:p>
        </w:tc>
        <w:tc>
          <w:tcPr>
            <w:tcW w:w="352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PS4, Xbox One, PC</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tcPr>
          <w:p>
            <w:pPr>
              <w:ind w:left="100"/>
              <w:spacing w:after="0" w:line="204" w:lineRule="exact"/>
              <w:rPr>
                <w:sz w:val="20"/>
                <w:szCs w:val="20"/>
                <w:color w:val="auto"/>
              </w:rPr>
            </w:pPr>
            <w:r>
              <w:rPr>
                <w:rFonts w:ascii="Arial" w:cs="Arial" w:eastAsia="Arial" w:hAnsi="Arial"/>
                <w:sz w:val="18"/>
                <w:szCs w:val="18"/>
                <w:color w:val="auto"/>
              </w:rPr>
              <w:t>July 13, 2021</w:t>
            </w:r>
          </w:p>
        </w:tc>
        <w:tc>
          <w:tcPr>
            <w:tcW w:w="120" w:type="dxa"/>
            <w:vAlign w:val="bottom"/>
          </w:tcPr>
          <w:p>
            <w:pPr>
              <w:spacing w:after="0"/>
              <w:rPr>
                <w:sz w:val="17"/>
                <w:szCs w:val="17"/>
                <w:color w:val="auto"/>
              </w:rPr>
            </w:pPr>
          </w:p>
        </w:tc>
      </w:tr>
      <w:tr>
        <w:trPr>
          <w:trHeight w:val="204"/>
        </w:trPr>
        <w:tc>
          <w:tcPr>
            <w:tcW w:w="1440" w:type="dxa"/>
            <w:vAlign w:val="bottom"/>
            <w:tcBorders>
              <w:left w:val="single" w:sz="8" w:color="auto"/>
              <w:bottom w:val="single" w:sz="8" w:color="auto"/>
              <w:right w:val="single" w:sz="8" w:color="auto"/>
            </w:tcBorders>
            <w:gridSpan w:val="4"/>
          </w:tcPr>
          <w:p>
            <w:pPr>
              <w:ind w:left="120"/>
              <w:spacing w:after="0" w:line="204" w:lineRule="exact"/>
              <w:rPr>
                <w:sz w:val="20"/>
                <w:szCs w:val="20"/>
                <w:color w:val="auto"/>
              </w:rPr>
            </w:pPr>
            <w:r>
              <w:rPr>
                <w:rFonts w:ascii="Arial" w:cs="Arial" w:eastAsia="Arial" w:hAnsi="Arial"/>
                <w:sz w:val="18"/>
                <w:szCs w:val="18"/>
                <w:color w:val="auto"/>
                <w:w w:val="95"/>
              </w:rPr>
              <w:t>Rockstar Games</w:t>
            </w:r>
          </w:p>
        </w:tc>
        <w:tc>
          <w:tcPr>
            <w:tcW w:w="4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5"/>
          </w:tcPr>
          <w:p>
            <w:pPr>
              <w:ind w:left="60"/>
              <w:spacing w:after="0" w:line="204" w:lineRule="exact"/>
              <w:rPr>
                <w:sz w:val="20"/>
                <w:szCs w:val="20"/>
                <w:color w:val="auto"/>
              </w:rPr>
            </w:pPr>
            <w:r>
              <w:rPr>
                <w:rFonts w:ascii="Arial" w:cs="Arial" w:eastAsia="Arial" w:hAnsi="Arial"/>
                <w:sz w:val="18"/>
                <w:szCs w:val="18"/>
                <w:i w:val="1"/>
                <w:iCs w:val="1"/>
                <w:color w:val="auto"/>
              </w:rPr>
              <w:t xml:space="preserve">Grand Theft Auto Online: Los Santos Tuners </w:t>
            </w:r>
            <w:r>
              <w:rPr>
                <w:rFonts w:ascii="Arial" w:cs="Arial" w:eastAsia="Arial" w:hAnsi="Arial"/>
                <w:sz w:val="18"/>
                <w:szCs w:val="18"/>
                <w:color w:val="auto"/>
              </w:rPr>
              <w:t>Update</w:t>
            </w:r>
          </w:p>
        </w:tc>
        <w:tc>
          <w:tcPr>
            <w:tcW w:w="352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PS4, Xbox One, PC</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tcPr>
          <w:p>
            <w:pPr>
              <w:ind w:left="100"/>
              <w:spacing w:after="0" w:line="204" w:lineRule="exact"/>
              <w:rPr>
                <w:sz w:val="20"/>
                <w:szCs w:val="20"/>
                <w:color w:val="auto"/>
              </w:rPr>
            </w:pPr>
            <w:r>
              <w:rPr>
                <w:rFonts w:ascii="Arial" w:cs="Arial" w:eastAsia="Arial" w:hAnsi="Arial"/>
                <w:sz w:val="18"/>
                <w:szCs w:val="18"/>
                <w:color w:val="auto"/>
              </w:rPr>
              <w:t>July 20, 2021</w:t>
            </w:r>
          </w:p>
        </w:tc>
        <w:tc>
          <w:tcPr>
            <w:tcW w:w="120" w:type="dxa"/>
            <w:vAlign w:val="bottom"/>
          </w:tcPr>
          <w:p>
            <w:pPr>
              <w:spacing w:after="0"/>
              <w:rPr>
                <w:sz w:val="17"/>
                <w:szCs w:val="17"/>
                <w:color w:val="auto"/>
              </w:rPr>
            </w:pPr>
          </w:p>
        </w:tc>
      </w:tr>
      <w:tr>
        <w:trPr>
          <w:trHeight w:val="414"/>
        </w:trPr>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gridSpan w:val="6"/>
          </w:tcPr>
          <w:p>
            <w:pPr>
              <w:ind w:left="100"/>
              <w:spacing w:after="0"/>
              <w:rPr>
                <w:sz w:val="20"/>
                <w:szCs w:val="20"/>
                <w:color w:val="auto"/>
              </w:rPr>
            </w:pPr>
            <w:r>
              <w:rPr>
                <w:rFonts w:ascii="Arial" w:cs="Arial" w:eastAsia="Arial" w:hAnsi="Arial"/>
                <w:sz w:val="18"/>
                <w:szCs w:val="18"/>
                <w:color w:val="auto"/>
                <w:w w:val="88"/>
              </w:rPr>
              <w:t>Take-Two's lineup of future titles announced to-date includes:</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165"/>
        </w:trPr>
        <w:tc>
          <w:tcPr>
            <w:tcW w:w="1400" w:type="dxa"/>
            <w:vAlign w:val="bottom"/>
            <w:tcBorders>
              <w:left w:val="single" w:sz="8" w:color="auto"/>
              <w:right w:val="single" w:sz="8" w:color="auto"/>
            </w:tcBorders>
            <w:gridSpan w:val="3"/>
          </w:tcPr>
          <w:p>
            <w:pPr>
              <w:ind w:left="120"/>
              <w:spacing w:after="0" w:line="164" w:lineRule="exact"/>
              <w:rPr>
                <w:sz w:val="20"/>
                <w:szCs w:val="20"/>
                <w:color w:val="auto"/>
              </w:rPr>
            </w:pPr>
            <w:r>
              <w:rPr>
                <w:rFonts w:ascii="Arial" w:cs="Arial" w:eastAsia="Arial" w:hAnsi="Arial"/>
                <w:sz w:val="18"/>
                <w:szCs w:val="18"/>
                <w:b w:val="1"/>
                <w:bCs w:val="1"/>
                <w:color w:val="auto"/>
              </w:rPr>
              <w:t>Label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4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8"/>
                <w:szCs w:val="18"/>
                <w:b w:val="1"/>
                <w:bCs w:val="1"/>
                <w:color w:val="auto"/>
              </w:rPr>
              <w:t>Title</w:t>
            </w:r>
          </w:p>
        </w:tc>
        <w:tc>
          <w:tcPr>
            <w:tcW w:w="80" w:type="dxa"/>
            <w:vAlign w:val="bottom"/>
          </w:tcPr>
          <w:p>
            <w:pPr>
              <w:spacing w:after="0"/>
              <w:rPr>
                <w:sz w:val="14"/>
                <w:szCs w:val="14"/>
                <w:color w:val="auto"/>
              </w:rPr>
            </w:pPr>
          </w:p>
        </w:tc>
        <w:tc>
          <w:tcPr>
            <w:tcW w:w="1180" w:type="dxa"/>
            <w:vAlign w:val="bottom"/>
            <w:gridSpan w:val="2"/>
          </w:tcPr>
          <w:p>
            <w:pPr>
              <w:spacing w:after="0" w:line="164" w:lineRule="exact"/>
              <w:rPr>
                <w:sz w:val="20"/>
                <w:szCs w:val="20"/>
                <w:color w:val="auto"/>
              </w:rPr>
            </w:pPr>
            <w:r>
              <w:rPr>
                <w:rFonts w:ascii="Arial" w:cs="Arial" w:eastAsia="Arial" w:hAnsi="Arial"/>
                <w:sz w:val="18"/>
                <w:szCs w:val="18"/>
                <w:b w:val="1"/>
                <w:bCs w:val="1"/>
                <w:color w:val="auto"/>
              </w:rPr>
              <w:t>Platforms</w:t>
            </w:r>
          </w:p>
        </w:tc>
        <w:tc>
          <w:tcPr>
            <w:tcW w:w="35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spacing w:after="0" w:line="164" w:lineRule="exact"/>
              <w:rPr>
                <w:sz w:val="20"/>
                <w:szCs w:val="20"/>
                <w:color w:val="auto"/>
              </w:rPr>
            </w:pPr>
            <w:r>
              <w:rPr>
                <w:rFonts w:ascii="Arial" w:cs="Arial" w:eastAsia="Arial" w:hAnsi="Arial"/>
                <w:sz w:val="18"/>
                <w:szCs w:val="18"/>
                <w:b w:val="1"/>
                <w:bCs w:val="1"/>
                <w:color w:val="auto"/>
              </w:rPr>
              <w:t>Release Date</w:t>
            </w:r>
          </w:p>
        </w:tc>
        <w:tc>
          <w:tcPr>
            <w:tcW w:w="120" w:type="dxa"/>
            <w:vAlign w:val="bottom"/>
            <w:tcBorders>
              <w:right w:val="single" w:sz="8" w:color="auto"/>
            </w:tcBorders>
          </w:tcPr>
          <w:p>
            <w:pPr>
              <w:spacing w:after="0"/>
              <w:rPr>
                <w:sz w:val="14"/>
                <w:szCs w:val="1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9"/>
              </w:rPr>
              <w:t>Private Division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 xml:space="preserve">Hades </w:t>
            </w:r>
            <w:r>
              <w:rPr>
                <w:rFonts w:ascii="Arial" w:cs="Arial" w:eastAsia="Arial" w:hAnsi="Arial"/>
                <w:sz w:val="18"/>
                <w:szCs w:val="18"/>
                <w:color w:val="auto"/>
              </w:rPr>
              <w:t>(physical release)</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PS4, PS5, Xbox One, Xbox Series X</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August 13, 2021</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NBA 2K22</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PS4, PS5, Xbox One, Xbox Series X|S, PC, Switch</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85"/>
              </w:rPr>
              <w:t>September 10, 2021</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9"/>
              </w:rPr>
              <w:t>Private Division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w w:val="93"/>
              </w:rPr>
              <w:t xml:space="preserve">The Outer Worlds: Murder on Eridanos </w:t>
            </w:r>
            <w:r>
              <w:rPr>
                <w:rFonts w:ascii="Arial" w:cs="Arial" w:eastAsia="Arial" w:hAnsi="Arial"/>
                <w:sz w:val="18"/>
                <w:szCs w:val="18"/>
                <w:color w:val="auto"/>
                <w:w w:val="93"/>
              </w:rPr>
              <w:t>(DLC)</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spacing w:after="0" w:line="204" w:lineRule="exact"/>
              <w:rPr>
                <w:sz w:val="20"/>
                <w:szCs w:val="20"/>
                <w:color w:val="auto"/>
              </w:rPr>
            </w:pPr>
            <w:r>
              <w:rPr>
                <w:rFonts w:ascii="Arial" w:cs="Arial" w:eastAsia="Arial" w:hAnsi="Arial"/>
                <w:sz w:val="18"/>
                <w:szCs w:val="18"/>
                <w:color w:val="auto"/>
              </w:rPr>
              <w:t>Switch</w:t>
            </w:r>
          </w:p>
        </w:tc>
        <w:tc>
          <w:tcPr>
            <w:tcW w:w="35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Q2 Fiscal 2022</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9"/>
              </w:rPr>
              <w:t>Private Division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Kerbal Space Program Enhanced Edition</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PS5, Xbox Series X|S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Fall 2021</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2"/>
              </w:rPr>
              <w:t>Rockstar Games</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w w:val="92"/>
              </w:rPr>
              <w:t>Grand Theft Auto V: Expanded and Enhanced</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PS5, Xbox Series X|S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88"/>
              </w:rPr>
              <w:t>November 11, 2021</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2"/>
              </w:rPr>
              <w:t>Rockstar Games</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 xml:space="preserve">Grand Theft Auto Online – </w:t>
            </w:r>
            <w:r>
              <w:rPr>
                <w:rFonts w:ascii="Arial" w:cs="Arial" w:eastAsia="Arial" w:hAnsi="Arial"/>
                <w:sz w:val="18"/>
                <w:szCs w:val="18"/>
                <w:color w:val="auto"/>
              </w:rPr>
              <w:t>Standalone</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PS5, Xbox Series X|S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88"/>
              </w:rPr>
              <w:t>November 11, 2021</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Tiny Tina’s Wonderlands</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PS4, PS5, Xbox One, Xbox Series X|S, PC</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Q4 Fiscal 2022</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9"/>
              </w:rPr>
              <w:t>Private Division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OlliOlli World</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w w:val="91"/>
              </w:rPr>
              <w:t>PS4, PS5, Xbox One, Xbox Series X|S, Switch, PC (digital only)</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rPr>
              <w:t>2K</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WWE 2K22</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spacing w:after="0" w:line="204" w:lineRule="exact"/>
              <w:rPr>
                <w:sz w:val="20"/>
                <w:szCs w:val="20"/>
                <w:color w:val="auto"/>
              </w:rPr>
            </w:pPr>
            <w:r>
              <w:rPr>
                <w:rFonts w:ascii="Arial" w:cs="Arial" w:eastAsia="Arial" w:hAnsi="Arial"/>
                <w:sz w:val="18"/>
                <w:szCs w:val="18"/>
                <w:color w:val="auto"/>
              </w:rPr>
              <w:t>TBA</w:t>
            </w:r>
          </w:p>
        </w:tc>
        <w:tc>
          <w:tcPr>
            <w:tcW w:w="35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auto"/>
              <w:right w:val="single" w:sz="8" w:color="auto"/>
            </w:tcBorders>
          </w:tcPr>
          <w:p>
            <w:pPr>
              <w:spacing w:after="0"/>
              <w:rPr>
                <w:sz w:val="17"/>
                <w:szCs w:val="17"/>
                <w:color w:val="auto"/>
              </w:rPr>
            </w:pPr>
          </w:p>
        </w:tc>
      </w:tr>
      <w:tr>
        <w:trPr>
          <w:trHeight w:val="204"/>
        </w:trPr>
        <w:tc>
          <w:tcPr>
            <w:tcW w:w="1400" w:type="dxa"/>
            <w:vAlign w:val="bottom"/>
            <w:tcBorders>
              <w:left w:val="single" w:sz="8" w:color="auto"/>
              <w:bottom w:val="single" w:sz="8" w:color="auto"/>
              <w:right w:val="single" w:sz="8" w:color="auto"/>
            </w:tcBorders>
            <w:gridSpan w:val="3"/>
          </w:tcPr>
          <w:p>
            <w:pPr>
              <w:ind w:left="120"/>
              <w:spacing w:after="0" w:line="204" w:lineRule="exact"/>
              <w:rPr>
                <w:sz w:val="20"/>
                <w:szCs w:val="20"/>
                <w:color w:val="auto"/>
              </w:rPr>
            </w:pPr>
            <w:r>
              <w:rPr>
                <w:rFonts w:ascii="Arial" w:cs="Arial" w:eastAsia="Arial" w:hAnsi="Arial"/>
                <w:sz w:val="18"/>
                <w:szCs w:val="18"/>
                <w:color w:val="auto"/>
                <w:w w:val="99"/>
              </w:rPr>
              <w:t>Private Division</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i w:val="1"/>
                <w:iCs w:val="1"/>
                <w:color w:val="auto"/>
              </w:rPr>
              <w:t>Kerbal Space Program 2</w:t>
            </w:r>
          </w:p>
        </w:tc>
        <w:tc>
          <w:tcPr>
            <w:tcW w:w="8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3"/>
          </w:tcPr>
          <w:p>
            <w:pPr>
              <w:spacing w:after="0" w:line="204" w:lineRule="exact"/>
              <w:rPr>
                <w:sz w:val="20"/>
                <w:szCs w:val="20"/>
                <w:color w:val="auto"/>
              </w:rPr>
            </w:pPr>
            <w:r>
              <w:rPr>
                <w:rFonts w:ascii="Arial" w:cs="Arial" w:eastAsia="Arial" w:hAnsi="Arial"/>
                <w:sz w:val="18"/>
                <w:szCs w:val="18"/>
                <w:color w:val="auto"/>
              </w:rPr>
              <w:t>PS4, PS5, Xbox One, Xbox Series X|S, PC</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rPr>
              <w:t>Fiscal 2023</w:t>
            </w:r>
          </w:p>
        </w:tc>
        <w:tc>
          <w:tcPr>
            <w:tcW w:w="120" w:type="dxa"/>
            <w:vAlign w:val="bottom"/>
            <w:tcBorders>
              <w:bottom w:val="single" w:sz="8" w:color="auto"/>
              <w:right w:val="single" w:sz="8" w:color="auto"/>
            </w:tcBorders>
          </w:tcPr>
          <w:p>
            <w:pPr>
              <w:spacing w:after="0"/>
              <w:rPr>
                <w:sz w:val="17"/>
                <w:szCs w:val="17"/>
                <w:color w:val="auto"/>
              </w:rPr>
            </w:pPr>
          </w:p>
        </w:tc>
      </w:tr>
      <w:tr>
        <w:trPr>
          <w:trHeight w:val="626"/>
        </w:trPr>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8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Take-Two will host a conference call today at 4:30 p.m. Eastern Time to review these results and discuss other topics. The call can be accessed by dialing (877) 407-0984 or (201) 689-8577. A live listen-only webcast of the call will be available by visiting </w:t>
      </w:r>
      <w:r>
        <w:rPr>
          <w:rFonts w:ascii="Arial" w:cs="Arial" w:eastAsia="Arial" w:hAnsi="Arial"/>
          <w:sz w:val="18"/>
          <w:szCs w:val="18"/>
          <w:u w:val="single" w:color="auto"/>
          <w:color w:val="auto"/>
        </w:rPr>
        <w:t>http://ir.take2games.com</w:t>
      </w:r>
      <w:r>
        <w:rPr>
          <w:rFonts w:ascii="Arial" w:cs="Arial" w:eastAsia="Arial" w:hAnsi="Arial"/>
          <w:sz w:val="18"/>
          <w:szCs w:val="18"/>
          <w:color w:val="auto"/>
        </w:rPr>
        <w:t xml:space="preserve"> and a replay will be available following the call at the same location.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6"/>
          <w:szCs w:val="16"/>
          <w:b w:val="1"/>
          <w:bCs w:val="1"/>
          <w:i w:val="1"/>
          <w:iCs w:val="1"/>
          <w:color w:val="auto"/>
        </w:rPr>
        <w:t>Adjusted Unrestricted Operating Cash Flow</w:t>
      </w:r>
      <w:r>
        <w:rPr>
          <w:rFonts w:ascii="Arial" w:cs="Arial" w:eastAsia="Arial" w:hAnsi="Arial"/>
          <w:sz w:val="16"/>
          <w:szCs w:val="16"/>
          <w:color w:val="auto"/>
        </w:rPr>
        <w:t>, which is defined as GAAP net cash from operating activities, adjusted for changes in restricted cash. 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6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2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Quarterly Report on Form 10−Q for the period ended June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T2 Mobile Games.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6"/>
          <w:szCs w:val="16"/>
          <w:u w:val="single" w:color="auto"/>
          <w:color w:val="auto"/>
        </w:rPr>
        <w:t>http://www.take2games.com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risks of conducting business internationally;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and our ability to develop other hit titles; our ability to leverage opportunities on PlayStation®5 and Xbox Series X|S; the timely release and significant market acceptance of our games; the ability to maintain acceptable pricing levels on our games; and risks associated with international operations.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line="292" w:lineRule="auto"/>
        <w:rPr>
          <w:sz w:val="20"/>
          <w:szCs w:val="20"/>
          <w:color w:val="auto"/>
        </w:rPr>
      </w:pPr>
      <w:r>
        <w:rPr>
          <w:rFonts w:ascii="Arial" w:cs="Arial" w:eastAsia="Arial" w:hAnsi="Arial"/>
          <w:sz w:val="16"/>
          <w:szCs w:val="16"/>
          <w:color w:val="auto"/>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 w:cs="Arial" w:eastAsia="Arial" w:hAnsi="Arial"/>
          <w:sz w:val="16"/>
          <w:szCs w:val="16"/>
          <w:u w:val="single" w:color="auto"/>
          <w:color w:val="auto"/>
        </w:rPr>
        <w:t>www.take2games.com</w:t>
      </w:r>
      <w:r>
        <w:rPr>
          <w:rFonts w:ascii="Arial" w:cs="Arial" w:eastAsia="Arial" w:hAnsi="Arial"/>
          <w:sz w:val="16"/>
          <w:szCs w:val="16"/>
          <w:color w:val="auto"/>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18"/>
        </w:trPr>
        <w:tc>
          <w:tcPr>
            <w:tcW w:w="64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4"/>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813,346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831,310</w:t>
            </w:r>
          </w:p>
        </w:tc>
        <w:tc>
          <w:tcPr>
            <w:tcW w:w="100" w:type="dxa"/>
            <w:vAlign w:val="bottom"/>
            <w:shd w:val="clear" w:color="auto" w:fill="CCEEFF"/>
          </w:tcPr>
          <w:p>
            <w:pPr>
              <w:spacing w:after="0"/>
              <w:rPr>
                <w:sz w:val="17"/>
                <w:szCs w:val="17"/>
                <w:color w:val="auto"/>
              </w:rPr>
            </w:pPr>
          </w:p>
        </w:tc>
      </w:tr>
      <w:tr>
        <w:trPr>
          <w:trHeight w:val="204"/>
        </w:trPr>
        <w:tc>
          <w:tcPr>
            <w:tcW w:w="6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Internal royalties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214,063</w:t>
            </w:r>
          </w:p>
        </w:tc>
      </w:tr>
      <w:tr>
        <w:trPr>
          <w:trHeight w:val="211"/>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Software development costs and royalties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148,047</w:t>
            </w: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Licenses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50,404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56,019</w:t>
            </w:r>
          </w:p>
        </w:tc>
      </w:tr>
      <w:tr>
        <w:trPr>
          <w:trHeight w:val="224"/>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costs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46,896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58,560</w:t>
            </w:r>
          </w:p>
        </w:tc>
      </w:tr>
      <w:tr>
        <w:trPr>
          <w:trHeight w:val="204"/>
        </w:trPr>
        <w:tc>
          <w:tcPr>
            <w:tcW w:w="6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cost of goods sold</w:t>
            </w:r>
          </w:p>
        </w:tc>
        <w:tc>
          <w:tcPr>
            <w:tcW w:w="20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329,715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476,689</w:t>
            </w:r>
          </w:p>
        </w:tc>
        <w:tc>
          <w:tcPr>
            <w:tcW w:w="100" w:type="dxa"/>
            <w:vAlign w:val="bottom"/>
            <w:tcBorders>
              <w:bottom w:val="single" w:sz="8" w:color="CCEEFF"/>
            </w:tcBorders>
          </w:tcPr>
          <w:p>
            <w:pPr>
              <w:spacing w:after="0"/>
              <w:rPr>
                <w:sz w:val="17"/>
                <w:szCs w:val="17"/>
                <w:color w:val="auto"/>
              </w:rPr>
            </w:pPr>
          </w:p>
        </w:tc>
      </w:tr>
      <w:tr>
        <w:trPr>
          <w:trHeight w:val="204"/>
        </w:trPr>
        <w:tc>
          <w:tcPr>
            <w:tcW w:w="64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6420" w:type="dxa"/>
            <w:vAlign w:val="bottom"/>
          </w:tcPr>
          <w:p>
            <w:pPr>
              <w:spacing w:after="0"/>
              <w:rPr>
                <w:sz w:val="20"/>
                <w:szCs w:val="20"/>
                <w:color w:val="auto"/>
              </w:rPr>
            </w:pPr>
            <w:r>
              <w:rPr>
                <w:rFonts w:ascii="Arial" w:cs="Arial" w:eastAsia="Arial" w:hAnsi="Arial"/>
                <w:sz w:val="18"/>
                <w:szCs w:val="18"/>
                <w:color w:val="auto"/>
              </w:rPr>
              <w:t>Gross profit</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483,631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354,621</w:t>
            </w:r>
          </w:p>
        </w:tc>
      </w:tr>
      <w:tr>
        <w:trPr>
          <w:trHeight w:val="211"/>
        </w:trPr>
        <w:tc>
          <w:tcPr>
            <w:tcW w:w="6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104,447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102,173</w:t>
            </w:r>
          </w:p>
        </w:tc>
      </w:tr>
      <w:tr>
        <w:trPr>
          <w:trHeight w:val="211"/>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103,854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84,779</w:t>
            </w: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92,294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73,108</w:t>
            </w:r>
          </w:p>
        </w:tc>
      </w:tr>
      <w:tr>
        <w:trPr>
          <w:trHeight w:val="211"/>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12,418</w:t>
            </w:r>
          </w:p>
        </w:tc>
      </w:tr>
      <w:tr>
        <w:trPr>
          <w:trHeight w:val="224"/>
        </w:trPr>
        <w:tc>
          <w:tcPr>
            <w:tcW w:w="6420" w:type="dxa"/>
            <w:vAlign w:val="bottom"/>
          </w:tcPr>
          <w:p>
            <w:pPr>
              <w:ind w:left="200"/>
              <w:spacing w:after="0"/>
              <w:rPr>
                <w:sz w:val="20"/>
                <w:szCs w:val="20"/>
                <w:color w:val="auto"/>
              </w:rPr>
            </w:pPr>
            <w:r>
              <w:rPr>
                <w:rFonts w:ascii="Arial" w:cs="Arial" w:eastAsia="Arial" w:hAnsi="Arial"/>
                <w:sz w:val="18"/>
                <w:szCs w:val="18"/>
                <w:color w:val="auto"/>
              </w:rPr>
              <w:t>Business reorganization</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4"/>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313,157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272,478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42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170,474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82,143</w:t>
            </w:r>
          </w:p>
        </w:tc>
        <w:tc>
          <w:tcPr>
            <w:tcW w:w="100" w:type="dxa"/>
            <w:vAlign w:val="bottom"/>
          </w:tcPr>
          <w:p>
            <w:pPr>
              <w:spacing w:after="0"/>
              <w:rPr>
                <w:sz w:val="17"/>
                <w:szCs w:val="17"/>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w:t>
            </w: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Gain on long-term investments, net</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4"/>
        </w:trPr>
        <w:tc>
          <w:tcPr>
            <w:tcW w:w="64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Income before income taxes</w:t>
            </w:r>
          </w:p>
        </w:tc>
        <w:tc>
          <w:tcPr>
            <w:tcW w:w="2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171,444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90,361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tcPr>
          <w:p>
            <w:pPr>
              <w:spacing w:after="0"/>
              <w:rPr>
                <w:sz w:val="19"/>
                <w:szCs w:val="19"/>
                <w:color w:val="auto"/>
              </w:rPr>
            </w:pPr>
          </w:p>
        </w:tc>
      </w:tr>
      <w:tr>
        <w:trPr>
          <w:trHeight w:val="217"/>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152,256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6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r>
      <w:tr>
        <w:trPr>
          <w:trHeight w:val="211"/>
        </w:trPr>
        <w:tc>
          <w:tcPr>
            <w:tcW w:w="6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spacing w:after="0"/>
              <w:rPr>
                <w:sz w:val="20"/>
                <w:szCs w:val="20"/>
                <w:color w:val="auto"/>
              </w:rPr>
            </w:pPr>
            <w:r>
              <w:rPr>
                <w:rFonts w:ascii="Arial" w:cs="Arial" w:eastAsia="Arial" w:hAnsi="Arial"/>
                <w:sz w:val="18"/>
                <w:szCs w:val="18"/>
                <w:color w:val="auto"/>
              </w:rPr>
              <w:t>Basic</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115,702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113,862</w:t>
            </w: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117,130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114,956</w:t>
            </w:r>
          </w:p>
        </w:tc>
      </w:tr>
      <w:tr>
        <w:trPr>
          <w:trHeight w:val="211"/>
        </w:trPr>
        <w:tc>
          <w:tcPr>
            <w:tcW w:w="6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Basic EPS: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152,256</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88,505</w:t>
            </w:r>
          </w:p>
        </w:tc>
      </w:tr>
      <w:tr>
        <w:trPr>
          <w:trHeight w:val="211"/>
        </w:trPr>
        <w:tc>
          <w:tcPr>
            <w:tcW w:w="6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Weighted average shares outstanding - basic</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115,702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113,862</w:t>
            </w:r>
          </w:p>
        </w:tc>
      </w:tr>
      <w:tr>
        <w:trPr>
          <w:trHeight w:val="211"/>
        </w:trPr>
        <w:tc>
          <w:tcPr>
            <w:tcW w:w="6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r>
      <w:tr>
        <w:trPr>
          <w:trHeight w:val="211"/>
        </w:trPr>
        <w:tc>
          <w:tcPr>
            <w:tcW w:w="6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420" w:type="dxa"/>
            <w:vAlign w:val="bottom"/>
          </w:tcPr>
          <w:p>
            <w:pPr>
              <w:spacing w:after="0"/>
              <w:rPr>
                <w:sz w:val="20"/>
                <w:szCs w:val="20"/>
                <w:color w:val="auto"/>
              </w:rPr>
            </w:pPr>
            <w:r>
              <w:rPr>
                <w:rFonts w:ascii="Arial" w:cs="Arial" w:eastAsia="Arial" w:hAnsi="Arial"/>
                <w:sz w:val="18"/>
                <w:szCs w:val="18"/>
                <w:b w:val="1"/>
                <w:bCs w:val="1"/>
                <w:color w:val="auto"/>
              </w:rPr>
              <w:t>Computation of Diluted EPS: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4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income for diluted EPS calculation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152,256</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88,505</w:t>
            </w:r>
          </w:p>
        </w:tc>
      </w:tr>
      <w:tr>
        <w:trPr>
          <w:trHeight w:val="211"/>
        </w:trPr>
        <w:tc>
          <w:tcPr>
            <w:tcW w:w="6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 basic</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115,702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113,862</w:t>
            </w:r>
          </w:p>
        </w:tc>
      </w:tr>
      <w:tr>
        <w:trPr>
          <w:trHeight w:val="224"/>
        </w:trPr>
        <w:tc>
          <w:tcPr>
            <w:tcW w:w="6420" w:type="dxa"/>
            <w:vAlign w:val="bottom"/>
          </w:tcPr>
          <w:p>
            <w:pPr>
              <w:ind w:left="200"/>
              <w:spacing w:after="0"/>
              <w:rPr>
                <w:sz w:val="20"/>
                <w:szCs w:val="20"/>
                <w:color w:val="auto"/>
              </w:rPr>
            </w:pPr>
            <w:r>
              <w:rPr>
                <w:rFonts w:ascii="Arial" w:cs="Arial" w:eastAsia="Arial" w:hAnsi="Arial"/>
                <w:sz w:val="18"/>
                <w:szCs w:val="18"/>
                <w:color w:val="auto"/>
              </w:rPr>
              <w:t>Add: dilutive effect of common stock equivalents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r>
      <w:tr>
        <w:trPr>
          <w:trHeight w:val="204"/>
        </w:trPr>
        <w:tc>
          <w:tcPr>
            <w:tcW w:w="6420" w:type="dxa"/>
            <w:vAlign w:val="bottom"/>
            <w:tcBorders>
              <w:top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2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117,130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114,956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r>
      <w:tr>
        <w:trPr>
          <w:trHeight w:val="633"/>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w:t>
            </w:r>
          </w:p>
        </w:tc>
      </w:tr>
      <w:tr>
        <w:trPr>
          <w:trHeight w:val="229"/>
        </w:trPr>
        <w:tc>
          <w:tcPr>
            <w:tcW w:w="8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5"/>
        </w:trPr>
        <w:tc>
          <w:tcPr>
            <w:tcW w:w="8380" w:type="dxa"/>
            <w:vAlign w:val="bottom"/>
            <w:shd w:val="clear" w:color="auto" w:fill="CCEEFF"/>
          </w:tcPr>
          <w:p>
            <w:pPr>
              <w:ind w:left="3840"/>
              <w:spacing w:after="0" w:line="205"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1,400,876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1,422,884</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1,135,188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1,308,692</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653,069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538,822</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w w:val="96"/>
              </w:rPr>
              <w:t>Accounts receivable, net of allowances of $350 and $350 at June 30, 2021 and March 31, 2021, respectively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487,171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552,762</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17,742</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Software development costs and licenses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14,620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43,443</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cost of goods sold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15,524</w:t>
            </w:r>
          </w:p>
        </w:tc>
      </w:tr>
      <w:tr>
        <w:trPr>
          <w:trHeight w:val="224"/>
        </w:trPr>
        <w:tc>
          <w:tcPr>
            <w:tcW w:w="83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300,377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320,646</w:t>
            </w:r>
          </w:p>
        </w:tc>
      </w:tr>
      <w:tr>
        <w:trPr>
          <w:trHeight w:val="204"/>
        </w:trPr>
        <w:tc>
          <w:tcPr>
            <w:tcW w:w="8380" w:type="dxa"/>
            <w:vAlign w:val="bottom"/>
            <w:tcBorders>
              <w:top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4,013,612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4,220,515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224,880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149,364</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Right-of-use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163,464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164,763</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and licenses, net of current portion</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607,207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490,892</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645,591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535,306</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305,707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121,591</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Deferred tax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90,206</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 and cash equivalents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103,433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98,541</w:t>
            </w:r>
          </w:p>
        </w:tc>
      </w:tr>
      <w:tr>
        <w:trPr>
          <w:trHeight w:val="224"/>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171,978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157,040</w:t>
            </w:r>
          </w:p>
        </w:tc>
        <w:tc>
          <w:tcPr>
            <w:tcW w:w="100" w:type="dxa"/>
            <w:vAlign w:val="bottom"/>
            <w:tcBorders>
              <w:bottom w:val="single" w:sz="8" w:color="CCEEFF"/>
            </w:tcBorders>
          </w:tcPr>
          <w:p>
            <w:pPr>
              <w:spacing w:after="0"/>
              <w:rPr>
                <w:sz w:val="19"/>
                <w:szCs w:val="19"/>
                <w:color w:val="auto"/>
              </w:rPr>
            </w:pPr>
          </w:p>
        </w:tc>
      </w:tr>
      <w:tr>
        <w:trPr>
          <w:trHeight w:val="217"/>
        </w:trPr>
        <w:tc>
          <w:tcPr>
            <w:tcW w:w="8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6,314,255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6,028,218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8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380" w:type="dxa"/>
            <w:vAlign w:val="bottom"/>
            <w:shd w:val="clear" w:color="auto" w:fill="CCEEFF"/>
          </w:tcPr>
          <w:p>
            <w:pPr>
              <w:ind w:left="3040"/>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67,136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71,001</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1,242,312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1,204,090</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824,520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928,029</w:t>
            </w:r>
          </w:p>
        </w:tc>
      </w:tr>
      <w:tr>
        <w:trPr>
          <w:trHeight w:val="224"/>
        </w:trPr>
        <w:tc>
          <w:tcPr>
            <w:tcW w:w="8380" w:type="dxa"/>
            <w:vAlign w:val="bottom"/>
          </w:tcPr>
          <w:p>
            <w:pPr>
              <w:spacing w:after="0"/>
              <w:rPr>
                <w:sz w:val="20"/>
                <w:szCs w:val="20"/>
                <w:color w:val="auto"/>
              </w:rPr>
            </w:pPr>
            <w:r>
              <w:rPr>
                <w:rFonts w:ascii="Arial" w:cs="Arial" w:eastAsia="Arial" w:hAnsi="Arial"/>
                <w:sz w:val="18"/>
                <w:szCs w:val="18"/>
                <w:color w:val="auto"/>
              </w:rPr>
              <w:t>Lease liabilities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31,361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31,595</w:t>
            </w:r>
          </w:p>
        </w:tc>
      </w:tr>
      <w:tr>
        <w:trPr>
          <w:trHeight w:val="204"/>
        </w:trPr>
        <w:tc>
          <w:tcPr>
            <w:tcW w:w="8380" w:type="dxa"/>
            <w:vAlign w:val="bottom"/>
            <w:tcBorders>
              <w:top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2,165,329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2,234,715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37,302</w:t>
            </w:r>
          </w:p>
        </w:tc>
      </w:tr>
      <w:tr>
        <w:trPr>
          <w:trHeight w:val="211"/>
        </w:trPr>
        <w:tc>
          <w:tcPr>
            <w:tcW w:w="838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156,951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159,671</w:t>
            </w: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software development royalties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111,652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110,127</w:t>
            </w:r>
          </w:p>
        </w:tc>
      </w:tr>
      <w:tr>
        <w:trPr>
          <w:trHeight w:val="224"/>
        </w:trPr>
        <w:tc>
          <w:tcPr>
            <w:tcW w:w="8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197,698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154,511</w:t>
            </w:r>
          </w:p>
        </w:tc>
      </w:tr>
      <w:tr>
        <w:trPr>
          <w:trHeight w:val="204"/>
        </w:trPr>
        <w:tc>
          <w:tcPr>
            <w:tcW w:w="8380" w:type="dxa"/>
            <w:vAlign w:val="bottom"/>
            <w:tcBorders>
              <w:top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2,682,948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2,696,326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Take-Two Interactive, Inc. 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380" w:type="dxa"/>
            <w:vAlign w:val="bottom"/>
          </w:tcPr>
          <w:p>
            <w:pPr>
              <w:ind w:left="200"/>
              <w:spacing w:after="0"/>
              <w:rPr>
                <w:sz w:val="20"/>
                <w:szCs w:val="20"/>
                <w:color w:val="auto"/>
              </w:rPr>
            </w:pPr>
            <w:r>
              <w:rPr>
                <w:rFonts w:ascii="Arial" w:cs="Arial" w:eastAsia="Arial" w:hAnsi="Arial"/>
                <w:sz w:val="18"/>
                <w:szCs w:val="18"/>
                <w:color w:val="auto"/>
              </w:rPr>
              <w:t>Preferred stock, $.01 par value, 5,000 shares authorized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380" w:type="dxa"/>
            <w:vAlign w:val="bottom"/>
            <w:shd w:val="clear" w:color="auto" w:fill="CCEEFF"/>
          </w:tcPr>
          <w:p>
            <w:pPr>
              <w:ind w:left="240"/>
              <w:spacing w:after="0" w:line="199" w:lineRule="exact"/>
              <w:rPr>
                <w:sz w:val="20"/>
                <w:szCs w:val="20"/>
                <w:color w:val="auto"/>
              </w:rPr>
            </w:pPr>
            <w:r>
              <w:rPr>
                <w:rFonts w:ascii="Arial" w:cs="Arial" w:eastAsia="Arial" w:hAnsi="Arial"/>
                <w:sz w:val="18"/>
                <w:szCs w:val="18"/>
                <w:color w:val="auto"/>
                <w:w w:val="89"/>
              </w:rPr>
              <w:t>Common stock, $.01 par value, 200,000 shares authorized; 138,846 and 137,584 shares  issued and 116,425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115,163 outstanding at June 30, 2021 and March 31, 2021, respectively</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r>
      <w:tr>
        <w:trPr>
          <w:trHeight w:val="211"/>
        </w:trPr>
        <w:tc>
          <w:tcPr>
            <w:tcW w:w="83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2,417,658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2,288,781</w:t>
            </w:r>
          </w:p>
        </w:tc>
      </w:tr>
      <w:tr>
        <w:trPr>
          <w:trHeight w:val="211"/>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22,421 common shares at June 30, 2021 and,March 31, 2021, 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(820,572)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(820,572)</w:t>
            </w:r>
          </w:p>
        </w:tc>
      </w:tr>
      <w:tr>
        <w:trPr>
          <w:trHeight w:val="211"/>
        </w:trPr>
        <w:tc>
          <w:tcPr>
            <w:tcW w:w="83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2,023,227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1,870,971</w:t>
            </w:r>
          </w:p>
        </w:tc>
      </w:tr>
      <w:tr>
        <w:trPr>
          <w:trHeight w:val="224"/>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(8,664)</w:t>
            </w:r>
          </w:p>
        </w:tc>
      </w:tr>
      <w:tr>
        <w:trPr>
          <w:trHeight w:val="204"/>
        </w:trPr>
        <w:tc>
          <w:tcPr>
            <w:tcW w:w="838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Total Take-Two Interactive, Inc. stockholders' equity:</w:t>
            </w: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3,618,932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3,331,892</w:t>
            </w:r>
          </w:p>
        </w:tc>
        <w:tc>
          <w:tcPr>
            <w:tcW w:w="100" w:type="dxa"/>
            <w:vAlign w:val="bottom"/>
            <w:tcBorders>
              <w:bottom w:val="single" w:sz="8" w:color="CCEEFF"/>
            </w:tcBorders>
          </w:tcPr>
          <w:p>
            <w:pPr>
              <w:spacing w:after="0"/>
              <w:rPr>
                <w:sz w:val="17"/>
                <w:szCs w:val="17"/>
                <w:color w:val="auto"/>
              </w:rPr>
            </w:pPr>
          </w:p>
        </w:tc>
      </w:tr>
      <w:tr>
        <w:trPr>
          <w:trHeight w:val="204"/>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12,375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4"/>
        </w:trPr>
        <w:tc>
          <w:tcPr>
            <w:tcW w:w="838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3,631,307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3,331,892</w:t>
            </w:r>
          </w:p>
        </w:tc>
        <w:tc>
          <w:tcPr>
            <w:tcW w:w="100" w:type="dxa"/>
            <w:vAlign w:val="bottom"/>
            <w:tcBorders>
              <w:bottom w:val="single" w:sz="8" w:color="CCEEFF"/>
            </w:tcBorders>
          </w:tcPr>
          <w:p>
            <w:pPr>
              <w:spacing w:after="0"/>
              <w:rPr>
                <w:sz w:val="17"/>
                <w:szCs w:val="17"/>
                <w:color w:val="auto"/>
              </w:rPr>
            </w:pPr>
          </w:p>
        </w:tc>
      </w:tr>
      <w:tr>
        <w:trPr>
          <w:trHeight w:val="217"/>
        </w:trPr>
        <w:tc>
          <w:tcPr>
            <w:tcW w:w="8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 and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6,314,255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6,028,218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13"/>
        </w:trPr>
        <w:tc>
          <w:tcPr>
            <w:tcW w:w="8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jc w:val="right"/>
              <w:ind w:right="258"/>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8"/>
        </w:trPr>
        <w:tc>
          <w:tcPr>
            <w:tcW w:w="70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4"/>
        </w:trPr>
        <w:tc>
          <w:tcPr>
            <w:tcW w:w="70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Operating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152,256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88,505</w:t>
            </w:r>
          </w:p>
        </w:tc>
      </w:tr>
      <w:tr>
        <w:trPr>
          <w:trHeight w:val="211"/>
        </w:trPr>
        <w:tc>
          <w:tcPr>
            <w:tcW w:w="7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70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24,511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57,441</w:t>
            </w:r>
          </w:p>
        </w:tc>
      </w:tr>
      <w:tr>
        <w:trPr>
          <w:trHeight w:val="211"/>
        </w:trPr>
        <w:tc>
          <w:tcPr>
            <w:tcW w:w="70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12,464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12,298</w:t>
            </w: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intellectual property</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15,215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4,986</w:t>
            </w:r>
          </w:p>
        </w:tc>
      </w:tr>
      <w:tr>
        <w:trPr>
          <w:trHeight w:val="211"/>
        </w:trPr>
        <w:tc>
          <w:tcPr>
            <w:tcW w:w="70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49,050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53,411</w:t>
            </w: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13,802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11"/>
        </w:trPr>
        <w:tc>
          <w:tcPr>
            <w:tcW w:w="70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74,681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(91,846)</w:t>
            </w:r>
          </w:p>
        </w:tc>
      </w:tr>
      <w:tr>
        <w:trPr>
          <w:trHeight w:val="211"/>
        </w:trPr>
        <w:tc>
          <w:tcPr>
            <w:tcW w:w="708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6,336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Software development costs and licenses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(85,887)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(60,219)</w:t>
            </w:r>
          </w:p>
        </w:tc>
      </w:tr>
      <w:tr>
        <w:trPr>
          <w:trHeight w:val="211"/>
        </w:trPr>
        <w:tc>
          <w:tcPr>
            <w:tcW w:w="7080" w:type="dxa"/>
            <w:vAlign w:val="bottom"/>
          </w:tcPr>
          <w:p>
            <w:pPr>
              <w:ind w:left="400"/>
              <w:spacing w:after="0"/>
              <w:rPr>
                <w:sz w:val="20"/>
                <w:szCs w:val="20"/>
                <w:color w:val="auto"/>
              </w:rPr>
            </w:pPr>
            <w:r>
              <w:rPr>
                <w:rFonts w:ascii="Arial" w:cs="Arial" w:eastAsia="Arial" w:hAnsi="Arial"/>
                <w:sz w:val="18"/>
                <w:szCs w:val="18"/>
                <w:color w:val="auto"/>
              </w:rPr>
              <w:t>Prepaid expenses and other current and other non-current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17,622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80,759</w:t>
            </w:r>
          </w:p>
        </w:tc>
      </w:tr>
      <w:tr>
        <w:trPr>
          <w:trHeight w:val="211"/>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(94,660)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153,525</w:t>
            </w:r>
          </w:p>
        </w:tc>
      </w:tr>
      <w:tr>
        <w:trPr>
          <w:trHeight w:val="211"/>
        </w:trPr>
        <w:tc>
          <w:tcPr>
            <w:tcW w:w="7080" w:type="dxa"/>
            <w:vAlign w:val="bottom"/>
          </w:tcPr>
          <w:p>
            <w:pPr>
              <w:ind w:left="400"/>
              <w:spacing w:after="0"/>
              <w:rPr>
                <w:sz w:val="20"/>
                <w:szCs w:val="20"/>
                <w:color w:val="auto"/>
              </w:rPr>
            </w:pPr>
            <w:r>
              <w:rPr>
                <w:rFonts w:ascii="Arial" w:cs="Arial" w:eastAsia="Arial" w:hAnsi="Arial"/>
                <w:sz w:val="18"/>
                <w:szCs w:val="18"/>
                <w:color w:val="auto"/>
              </w:rPr>
              <w:t>Deferred cost of goods sold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4,850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5,398</w:t>
            </w:r>
          </w:p>
        </w:tc>
      </w:tr>
      <w:tr>
        <w:trPr>
          <w:trHeight w:val="224"/>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accrued expenses and other liabilities</w:t>
            </w: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144,220</w:t>
            </w:r>
          </w:p>
        </w:tc>
      </w:tr>
      <w:tr>
        <w:trPr>
          <w:trHeight w:val="204"/>
        </w:trPr>
        <w:tc>
          <w:tcPr>
            <w:tcW w:w="7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148,242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445,423</w:t>
            </w:r>
          </w:p>
        </w:tc>
        <w:tc>
          <w:tcPr>
            <w:tcW w:w="100" w:type="dxa"/>
            <w:vAlign w:val="bottom"/>
            <w:tcBorders>
              <w:bottom w:val="single" w:sz="8" w:color="CCEEFF"/>
            </w:tcBorders>
          </w:tcPr>
          <w:p>
            <w:pPr>
              <w:spacing w:after="0"/>
              <w:rPr>
                <w:sz w:val="17"/>
                <w:szCs w:val="17"/>
                <w:color w:val="auto"/>
              </w:rPr>
            </w:pPr>
          </w:p>
        </w:tc>
      </w:tr>
      <w:tr>
        <w:trPr>
          <w:trHeight w:val="204"/>
        </w:trPr>
        <w:tc>
          <w:tcPr>
            <w:tcW w:w="7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7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bank time deposits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311,893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(161,026)</w:t>
            </w:r>
          </w:p>
        </w:tc>
      </w:tr>
      <w:tr>
        <w:trPr>
          <w:trHeight w:val="211"/>
        </w:trPr>
        <w:tc>
          <w:tcPr>
            <w:tcW w:w="7080" w:type="dxa"/>
            <w:vAlign w:val="bottom"/>
          </w:tcPr>
          <w:p>
            <w:pPr>
              <w:ind w:left="160"/>
              <w:spacing w:after="0"/>
              <w:rPr>
                <w:sz w:val="20"/>
                <w:szCs w:val="20"/>
                <w:color w:val="auto"/>
              </w:rPr>
            </w:pPr>
            <w:r>
              <w:rPr>
                <w:rFonts w:ascii="Arial" w:cs="Arial" w:eastAsia="Arial" w:hAnsi="Arial"/>
                <w:sz w:val="18"/>
                <w:szCs w:val="18"/>
                <w:color w:val="auto"/>
              </w:rPr>
              <w:t>Proceeds from available-for-sale securities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161,151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117,738</w:t>
            </w:r>
          </w:p>
        </w:tc>
      </w:tr>
      <w:tr>
        <w:trPr>
          <w:trHeight w:val="211"/>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(188,372)</w:t>
            </w:r>
          </w:p>
        </w:tc>
      </w:tr>
      <w:tr>
        <w:trPr>
          <w:trHeight w:val="211"/>
        </w:trPr>
        <w:tc>
          <w:tcPr>
            <w:tcW w:w="7080" w:type="dxa"/>
            <w:vAlign w:val="bottom"/>
          </w:tcPr>
          <w:p>
            <w:pPr>
              <w:ind w:left="160"/>
              <w:spacing w:after="0"/>
              <w:rPr>
                <w:sz w:val="20"/>
                <w:szCs w:val="20"/>
                <w:color w:val="auto"/>
              </w:rPr>
            </w:pPr>
            <w:r>
              <w:rPr>
                <w:rFonts w:ascii="Arial" w:cs="Arial" w:eastAsia="Arial" w:hAnsi="Arial"/>
                <w:sz w:val="18"/>
                <w:szCs w:val="18"/>
                <w:color w:val="auto"/>
              </w:rPr>
              <w:t>Purchases of fixed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(86,433)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(8,905)</w:t>
            </w:r>
          </w:p>
        </w:tc>
      </w:tr>
      <w:tr>
        <w:trPr>
          <w:trHeight w:val="211"/>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4"/>
        </w:trPr>
        <w:tc>
          <w:tcPr>
            <w:tcW w:w="708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(97,887)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r>
      <w:tr>
        <w:trPr>
          <w:trHeight w:val="204"/>
        </w:trPr>
        <w:tc>
          <w:tcPr>
            <w:tcW w:w="7080" w:type="dxa"/>
            <w:vAlign w:val="bottom"/>
            <w:tcBorders>
              <w:top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(13,857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(247,465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3"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5495" cy="133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 w:lineRule="exact"/>
        <w:rPr>
          <w:sz w:val="20"/>
          <w:szCs w:val="20"/>
          <w:color w:val="auto"/>
        </w:rPr>
      </w:pPr>
    </w:p>
    <w:p>
      <w:pPr>
        <w:ind w:left="160" w:right="3280"/>
        <w:spacing w:after="0" w:line="245" w:lineRule="auto"/>
        <w:rPr>
          <w:sz w:val="20"/>
          <w:szCs w:val="20"/>
          <w:color w:val="auto"/>
        </w:rPr>
      </w:pPr>
      <w:r>
        <w:rPr>
          <w:rFonts w:ascii="Arial" w:cs="Arial" w:eastAsia="Arial" w:hAnsi="Arial"/>
          <w:sz w:val="18"/>
          <w:szCs w:val="18"/>
          <w:color w:val="auto"/>
        </w:rPr>
        <w:t>Tax payment related to net share settlements on restricted stock awards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35495" cy="142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b w:val="1"/>
          <w:bCs w:val="1"/>
          <w:color w:val="auto"/>
        </w:rPr>
        <w:t>(48,261)</w:t>
      </w:r>
      <w:r>
        <w:rPr>
          <w:sz w:val="20"/>
          <w:szCs w:val="20"/>
          <w:color w:val="auto"/>
        </w:rPr>
        <w:tab/>
      </w:r>
      <w:r>
        <w:rPr>
          <w:rFonts w:ascii="Arial" w:cs="Arial" w:eastAsia="Arial" w:hAnsi="Arial"/>
          <w:sz w:val="16"/>
          <w:szCs w:val="16"/>
          <w:color w:val="auto"/>
        </w:rPr>
        <w:t>(38,506)</w:t>
      </w:r>
    </w:p>
    <w:p>
      <w:pPr>
        <w:spacing w:after="0" w:line="45"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8"/>
          <w:szCs w:val="18"/>
          <w:b w:val="1"/>
          <w:bCs w:val="1"/>
          <w:color w:val="auto"/>
        </w:rPr>
        <w:t>9,230</w:t>
      </w:r>
      <w:r>
        <w:rPr>
          <w:sz w:val="20"/>
          <w:szCs w:val="20"/>
          <w:color w:val="auto"/>
        </w:rPr>
        <w:tab/>
      </w:r>
      <w:r>
        <w:rPr>
          <w:rFonts w:ascii="Arial" w:cs="Arial" w:eastAsia="Arial" w:hAnsi="Arial"/>
          <w:sz w:val="18"/>
          <w:szCs w:val="18"/>
          <w:color w:val="auto"/>
        </w:rPr>
        <w:t>6,503</w:t>
      </w:r>
    </w:p>
    <w:p>
      <w:pPr>
        <w:spacing w:after="0" w:line="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(39,031)</w:t>
      </w:r>
      <w:r>
        <w:rPr>
          <w:sz w:val="20"/>
          <w:szCs w:val="20"/>
          <w:color w:val="auto"/>
        </w:rPr>
        <w:tab/>
      </w:r>
      <w:r>
        <w:rPr>
          <w:rFonts w:ascii="Arial" w:cs="Arial" w:eastAsia="Arial" w:hAnsi="Arial"/>
          <w:sz w:val="16"/>
          <w:szCs w:val="16"/>
          <w:color w:val="auto"/>
        </w:rPr>
        <w:t>(32,003)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-130175</wp:posOffset>
            </wp:positionV>
            <wp:extent cx="1708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8785" cy="825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8440" w:space="720"/>
            <w:col w:w="208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84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8440" w:type="dxa"/>
            <w:vAlign w:val="bottom"/>
          </w:tcPr>
          <w:p>
            <w:pPr>
              <w:ind w:left="160"/>
              <w:spacing w:after="0"/>
              <w:rPr>
                <w:sz w:val="20"/>
                <w:szCs w:val="20"/>
                <w:color w:val="auto"/>
              </w:rPr>
            </w:pPr>
            <w:r>
              <w:rPr>
                <w:rFonts w:ascii="Arial" w:cs="Arial" w:eastAsia="Arial" w:hAnsi="Arial"/>
                <w:sz w:val="18"/>
                <w:szCs w:val="18"/>
                <w:color w:val="auto"/>
                <w:w w:val="93"/>
              </w:rPr>
              <w:t>Effects of foreign currency exchange rates on cash, cash equivalents, and restricted cash and cash equivalents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r>
      <w:tr>
        <w:trPr>
          <w:trHeight w:val="204"/>
        </w:trPr>
        <w:tc>
          <w:tcPr>
            <w:tcW w:w="84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886" w:right="33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Net change in cash, cash equivalents, and restricted cash and cash equivalents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cash equivalents, and restricted 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5495" cy="14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cash equivalents, and restricted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468630</wp:posOffset>
            </wp:positionV>
            <wp:extent cx="71354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80"/>
        <w:spacing w:after="0"/>
        <w:tabs>
          <w:tab w:leader="none" w:pos="2100" w:val="left"/>
        </w:tabs>
        <w:rPr>
          <w:sz w:val="20"/>
          <w:szCs w:val="20"/>
          <w:color w:val="auto"/>
        </w:rPr>
      </w:pPr>
      <w:r>
        <w:rPr>
          <w:rFonts w:ascii="Arial" w:cs="Arial" w:eastAsia="Arial" w:hAnsi="Arial"/>
          <w:sz w:val="18"/>
          <w:szCs w:val="18"/>
          <w:b w:val="1"/>
          <w:bCs w:val="1"/>
          <w:color w:val="auto"/>
        </w:rPr>
        <w:t>97,131</w:t>
      </w:r>
      <w:r>
        <w:rPr>
          <w:sz w:val="20"/>
          <w:szCs w:val="20"/>
          <w:color w:val="auto"/>
        </w:rPr>
        <w:tab/>
      </w:r>
      <w:r>
        <w:rPr>
          <w:rFonts w:ascii="Arial" w:cs="Arial" w:eastAsia="Arial" w:hAnsi="Arial"/>
          <w:sz w:val="18"/>
          <w:szCs w:val="18"/>
          <w:color w:val="auto"/>
        </w:rPr>
        <w:t>167,880</w:t>
      </w:r>
    </w:p>
    <w:p>
      <w:pPr>
        <w:spacing w:after="0" w:line="3" w:lineRule="exact"/>
        <w:rPr>
          <w:sz w:val="20"/>
          <w:szCs w:val="20"/>
          <w:color w:val="auto"/>
        </w:rPr>
      </w:pPr>
    </w:p>
    <w:p>
      <w:pPr>
        <w:jc w:val="both"/>
        <w:ind w:left="560"/>
        <w:spacing w:after="0"/>
        <w:tabs>
          <w:tab w:leader="none" w:pos="1980" w:val="left"/>
        </w:tabs>
        <w:rPr>
          <w:sz w:val="20"/>
          <w:szCs w:val="20"/>
          <w:color w:val="auto"/>
        </w:rPr>
      </w:pPr>
      <w:r>
        <w:rPr>
          <w:rFonts w:ascii="Arial" w:cs="Arial" w:eastAsia="Arial" w:hAnsi="Arial"/>
          <w:sz w:val="18"/>
          <w:szCs w:val="18"/>
          <w:b w:val="1"/>
          <w:bCs w:val="1"/>
          <w:color w:val="auto"/>
        </w:rPr>
        <w:t>2,060,247</w:t>
      </w:r>
      <w:r>
        <w:rPr>
          <w:sz w:val="20"/>
          <w:szCs w:val="20"/>
          <w:color w:val="auto"/>
        </w:rPr>
        <w:tab/>
      </w:r>
      <w:r>
        <w:rPr>
          <w:rFonts w:ascii="Arial" w:cs="Arial" w:eastAsia="Arial" w:hAnsi="Arial"/>
          <w:sz w:val="18"/>
          <w:szCs w:val="18"/>
          <w:color w:val="auto"/>
        </w:rPr>
        <w:t>1,993,392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08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8785" cy="8255"/>
                    </a:xfrm>
                    <a:prstGeom prst="rect">
                      <a:avLst/>
                    </a:prstGeom>
                    <a:noFill/>
                  </pic:spPr>
                </pic:pic>
              </a:graphicData>
            </a:graphic>
          </wp:anchor>
        </w:drawing>
      </w:r>
    </w:p>
    <w:p>
      <w:pPr>
        <w:spacing w:after="0" w:line="6" w:lineRule="exact"/>
        <w:rPr>
          <w:sz w:val="20"/>
          <w:szCs w:val="20"/>
          <w:color w:val="auto"/>
        </w:rPr>
      </w:pPr>
    </w:p>
    <w:p>
      <w:pPr>
        <w:spacing w:after="0"/>
        <w:tabs>
          <w:tab w:leader="none" w:pos="540" w:val="left"/>
          <w:tab w:leader="none" w:pos="1460" w:val="left"/>
          <w:tab w:leader="none" w:pos="19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2,157,378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2,161,272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0878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8785" cy="25400"/>
                    </a:xfrm>
                    <a:prstGeom prst="rect">
                      <a:avLst/>
                    </a:prstGeom>
                    <a:noFill/>
                  </pic:spPr>
                </pic:pic>
              </a:graphicData>
            </a:graphic>
          </wp:anchor>
        </w:drawing>
      </w:r>
    </w:p>
    <w:p>
      <w:pPr>
        <w:sectPr>
          <w:pgSz w:w="11900" w:h="16838" w:orient="portrait"/>
          <w:cols w:equalWidth="0" w:num="2">
            <w:col w:w="7720" w:space="720"/>
            <w:col w:w="2800"/>
          </w:cols>
          <w:pgMar w:left="320" w:top="886" w:right="339" w:bottom="1440" w:gutter="0" w:footer="0" w:header="0"/>
          <w:type w:val="continuous"/>
        </w:sectPr>
      </w:pPr>
    </w:p>
    <w:bookmarkStart w:id="16" w:name="page17"/>
    <w:bookmarkEnd w:id="16"/>
    <w:p>
      <w:pPr>
        <w:jc w:val="center"/>
        <w:spacing w:after="0" w:line="257" w:lineRule="auto"/>
        <w:rPr>
          <w:sz w:val="20"/>
          <w:szCs w:val="20"/>
          <w:color w:val="auto"/>
        </w:rPr>
      </w:pPr>
      <w:r>
        <w:rPr>
          <w:rFonts w:ascii="Arial" w:cs="Arial" w:eastAsia="Arial" w:hAnsi="Arial"/>
          <w:sz w:val="18"/>
          <w:szCs w:val="18"/>
          <w:b w:val="1"/>
          <w:bCs w:val="1"/>
          <w:color w:val="auto"/>
        </w:rPr>
        <w:t>TAKE-TWO INTERACTIVE SOFTWARE, INC. and SUBSIDIARIES Net Revenue and Net Bookings by Geographic Region, Distribution Channel, and Platform Mix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4"/>
          </w:tcPr>
          <w:p>
            <w:pPr>
              <w:jc w:val="center"/>
              <w:ind w:right="332"/>
              <w:spacing w:after="0"/>
              <w:rPr>
                <w:sz w:val="20"/>
                <w:szCs w:val="20"/>
                <w:color w:val="auto"/>
              </w:rPr>
            </w:pPr>
            <w:r>
              <w:rPr>
                <w:rFonts w:ascii="Arial" w:cs="Arial" w:eastAsia="Arial" w:hAnsi="Arial"/>
                <w:sz w:val="18"/>
                <w:szCs w:val="18"/>
                <w:b w:val="1"/>
                <w:bCs w:val="1"/>
                <w:color w:val="auto"/>
                <w:w w:val="89"/>
              </w:rPr>
              <w:t>Three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center"/>
              <w:ind w:right="252"/>
              <w:spacing w:after="0"/>
              <w:rPr>
                <w:sz w:val="20"/>
                <w:szCs w:val="20"/>
                <w:color w:val="auto"/>
              </w:rPr>
            </w:pPr>
            <w:r>
              <w:rPr>
                <w:rFonts w:ascii="Arial" w:cs="Arial" w:eastAsia="Arial" w:hAnsi="Arial"/>
                <w:sz w:val="18"/>
                <w:szCs w:val="18"/>
                <w:color w:val="auto"/>
                <w:w w:val="88"/>
              </w:rPr>
              <w:t>Three Months Ended</w:t>
            </w:r>
          </w:p>
        </w:tc>
      </w:tr>
      <w:tr>
        <w:trPr>
          <w:trHeight w:val="229"/>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tcPr>
          <w:p>
            <w:pPr>
              <w:jc w:val="center"/>
              <w:ind w:right="352"/>
              <w:spacing w:after="0"/>
              <w:rPr>
                <w:sz w:val="20"/>
                <w:szCs w:val="20"/>
                <w:color w:val="auto"/>
              </w:rPr>
            </w:pPr>
            <w:r>
              <w:rPr>
                <w:rFonts w:ascii="Arial" w:cs="Arial" w:eastAsia="Arial" w:hAnsi="Arial"/>
                <w:sz w:val="18"/>
                <w:szCs w:val="18"/>
                <w:b w:val="1"/>
                <w:bCs w:val="1"/>
                <w:color w:val="auto"/>
                <w:w w:val="87"/>
              </w:rPr>
              <w:t>June 30, 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4"/>
          </w:tcPr>
          <w:p>
            <w:pPr>
              <w:jc w:val="center"/>
              <w:ind w:right="272"/>
              <w:spacing w:after="0"/>
              <w:rPr>
                <w:sz w:val="20"/>
                <w:szCs w:val="20"/>
                <w:color w:val="auto"/>
              </w:rPr>
            </w:pPr>
            <w:r>
              <w:rPr>
                <w:rFonts w:ascii="Arial" w:cs="Arial" w:eastAsia="Arial" w:hAnsi="Arial"/>
                <w:sz w:val="18"/>
                <w:szCs w:val="18"/>
                <w:color w:val="auto"/>
                <w:w w:val="85"/>
              </w:rPr>
              <w:t>June 30, 2020</w:t>
            </w:r>
          </w:p>
        </w:tc>
      </w:tr>
      <w:tr>
        <w:trPr>
          <w:trHeight w:val="205"/>
        </w:trPr>
        <w:tc>
          <w:tcPr>
            <w:tcW w:w="5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20"/>
              <w:spacing w:after="0" w:line="205" w:lineRule="exact"/>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20"/>
              <w:spacing w:after="0" w:line="205" w:lineRule="exact"/>
              <w:rPr>
                <w:sz w:val="20"/>
                <w:szCs w:val="20"/>
                <w:color w:val="auto"/>
              </w:rPr>
            </w:pPr>
            <w:r>
              <w:rPr>
                <w:rFonts w:ascii="Arial" w:cs="Arial" w:eastAsia="Arial" w:hAnsi="Arial"/>
                <w:sz w:val="18"/>
                <w:szCs w:val="18"/>
                <w:b w:val="1"/>
                <w:bCs w:val="1"/>
                <w:color w:val="auto"/>
              </w:rPr>
              <w:t>% of Total</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40"/>
              <w:spacing w:after="0" w:line="205" w:lineRule="exact"/>
              <w:rPr>
                <w:sz w:val="20"/>
                <w:szCs w:val="20"/>
                <w:color w:val="auto"/>
              </w:rPr>
            </w:pPr>
            <w:r>
              <w:rPr>
                <w:rFonts w:ascii="Arial" w:cs="Arial" w:eastAsia="Arial" w:hAnsi="Arial"/>
                <w:sz w:val="18"/>
                <w:szCs w:val="18"/>
                <w:color w:val="auto"/>
              </w:rPr>
              <w:t>Amount</w:t>
            </w:r>
          </w:p>
        </w:tc>
        <w:tc>
          <w:tcPr>
            <w:tcW w:w="1220" w:type="dxa"/>
            <w:vAlign w:val="bottom"/>
            <w:tcBorders>
              <w:top w:val="single" w:sz="8" w:color="auto"/>
            </w:tcBorders>
          </w:tcPr>
          <w:p>
            <w:pPr>
              <w:jc w:val="right"/>
              <w:ind w:right="152"/>
              <w:spacing w:after="0" w:line="205" w:lineRule="exact"/>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7"/>
                <w:szCs w:val="17"/>
                <w:color w:val="auto"/>
              </w:rPr>
            </w:pPr>
          </w:p>
        </w:tc>
      </w:tr>
      <w:tr>
        <w:trPr>
          <w:trHeight w:val="204"/>
        </w:trPr>
        <w:tc>
          <w:tcPr>
            <w:tcW w:w="5460" w:type="dxa"/>
            <w:vAlign w:val="bottom"/>
            <w:tcBorders>
              <w:top w:val="single" w:sz="8" w:color="CCEEFF"/>
            </w:tcBorders>
            <w:shd w:val="clear" w:color="auto" w:fill="CCEEFF"/>
          </w:tcPr>
          <w:p>
            <w:pPr>
              <w:ind w:left="160"/>
              <w:spacing w:after="0" w:line="204" w:lineRule="exact"/>
              <w:rPr>
                <w:sz w:val="20"/>
                <w:szCs w:val="20"/>
                <w:color w:val="auto"/>
              </w:rPr>
            </w:pPr>
            <w:r>
              <w:rPr>
                <w:rFonts w:ascii="Arial" w:cs="Arial" w:eastAsia="Arial" w:hAnsi="Arial"/>
                <w:sz w:val="18"/>
                <w:szCs w:val="18"/>
                <w:b w:val="1"/>
                <w:bCs w:val="1"/>
                <w:color w:val="auto"/>
              </w:rPr>
              <w:t>Net revenue by geographic region</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1"/>
        </w:trPr>
        <w:tc>
          <w:tcPr>
            <w:tcW w:w="5460" w:type="dxa"/>
            <w:vAlign w:val="bottom"/>
          </w:tcPr>
          <w:p>
            <w:pPr>
              <w:ind w:left="58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493,186</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470,490</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24"/>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320,160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360,820</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4"/>
        </w:trPr>
        <w:tc>
          <w:tcPr>
            <w:tcW w:w="54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813,346</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831,310</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4"/>
        </w:trPr>
        <w:tc>
          <w:tcPr>
            <w:tcW w:w="5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1"/>
        </w:trPr>
        <w:tc>
          <w:tcPr>
            <w:tcW w:w="5460" w:type="dxa"/>
            <w:vAlign w:val="bottom"/>
          </w:tcPr>
          <w:p>
            <w:pPr>
              <w:ind w:left="360"/>
              <w:spacing w:after="0"/>
              <w:rPr>
                <w:sz w:val="20"/>
                <w:szCs w:val="20"/>
                <w:color w:val="auto"/>
              </w:rPr>
            </w:pPr>
            <w:r>
              <w:rPr>
                <w:rFonts w:ascii="Arial" w:cs="Arial" w:eastAsia="Arial" w:hAnsi="Arial"/>
                <w:sz w:val="18"/>
                <w:szCs w:val="18"/>
                <w:b w:val="1"/>
                <w:bCs w:val="1"/>
                <w:color w:val="auto"/>
              </w:rPr>
              <w:t>Net bookings by geographic region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418,815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587,112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4"/>
        </w:trPr>
        <w:tc>
          <w:tcPr>
            <w:tcW w:w="5460" w:type="dxa"/>
            <w:vAlign w:val="bottom"/>
          </w:tcPr>
          <w:p>
            <w:pPr>
              <w:ind w:left="5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292,615</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409,137</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4"/>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bookings</w:t>
            </w:r>
          </w:p>
        </w:tc>
        <w:tc>
          <w:tcPr>
            <w:tcW w:w="200" w:type="dxa"/>
            <w:vAlign w:val="bottom"/>
            <w:tcBorders>
              <w:top w:val="single" w:sz="8" w:color="auto"/>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711,430</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996,249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423"/>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4"/>
          </w:tcPr>
          <w:p>
            <w:pPr>
              <w:jc w:val="center"/>
              <w:ind w:right="332"/>
              <w:spacing w:after="0"/>
              <w:rPr>
                <w:sz w:val="20"/>
                <w:szCs w:val="20"/>
                <w:color w:val="auto"/>
              </w:rPr>
            </w:pPr>
            <w:r>
              <w:rPr>
                <w:rFonts w:ascii="Arial" w:cs="Arial" w:eastAsia="Arial" w:hAnsi="Arial"/>
                <w:sz w:val="18"/>
                <w:szCs w:val="18"/>
                <w:b w:val="1"/>
                <w:bCs w:val="1"/>
                <w:color w:val="auto"/>
                <w:w w:val="89"/>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center"/>
              <w:ind w:right="252"/>
              <w:spacing w:after="0"/>
              <w:rPr>
                <w:sz w:val="20"/>
                <w:szCs w:val="20"/>
                <w:color w:val="auto"/>
              </w:rPr>
            </w:pPr>
            <w:r>
              <w:rPr>
                <w:rFonts w:ascii="Arial" w:cs="Arial" w:eastAsia="Arial" w:hAnsi="Arial"/>
                <w:sz w:val="18"/>
                <w:szCs w:val="18"/>
                <w:color w:val="auto"/>
                <w:w w:val="88"/>
              </w:rPr>
              <w:t>Three Months Ended</w:t>
            </w:r>
          </w:p>
        </w:tc>
      </w:tr>
      <w:tr>
        <w:trPr>
          <w:trHeight w:val="229"/>
        </w:trPr>
        <w:tc>
          <w:tcPr>
            <w:tcW w:w="5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b w:val="1"/>
                <w:bCs w:val="1"/>
                <w:color w:val="auto"/>
                <w:w w:val="87"/>
              </w:rPr>
              <w:t>June 30, 2021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color w:val="auto"/>
                <w:w w:val="85"/>
              </w:rPr>
              <w:t>June 30, 2020</w:t>
            </w:r>
          </w:p>
        </w:tc>
        <w:tc>
          <w:tcPr>
            <w:tcW w:w="160" w:type="dxa"/>
            <w:vAlign w:val="bottom"/>
          </w:tcPr>
          <w:p>
            <w:pPr>
              <w:spacing w:after="0"/>
              <w:rPr>
                <w:sz w:val="19"/>
                <w:szCs w:val="19"/>
                <w:color w:val="auto"/>
              </w:rPr>
            </w:pPr>
          </w:p>
        </w:tc>
      </w:tr>
      <w:tr>
        <w:trPr>
          <w:trHeight w:val="218"/>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 of Total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Amount</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 of Total</w:t>
            </w:r>
          </w:p>
        </w:tc>
      </w:tr>
      <w:tr>
        <w:trPr>
          <w:trHeight w:val="204"/>
        </w:trPr>
        <w:tc>
          <w:tcPr>
            <w:tcW w:w="5460" w:type="dxa"/>
            <w:vAlign w:val="bottom"/>
            <w:tcBorders>
              <w:top w:val="single" w:sz="8" w:color="CCEEFF"/>
            </w:tcBorders>
            <w:shd w:val="clear" w:color="auto" w:fill="CCEEFF"/>
          </w:tcPr>
          <w:p>
            <w:pPr>
              <w:ind w:left="160"/>
              <w:spacing w:after="0" w:line="204" w:lineRule="exact"/>
              <w:rPr>
                <w:sz w:val="20"/>
                <w:szCs w:val="20"/>
                <w:color w:val="auto"/>
              </w:rPr>
            </w:pPr>
            <w:r>
              <w:rPr>
                <w:rFonts w:ascii="Arial" w:cs="Arial" w:eastAsia="Arial" w:hAnsi="Arial"/>
                <w:sz w:val="18"/>
                <w:szCs w:val="18"/>
                <w:b w:val="1"/>
                <w:bCs w:val="1"/>
                <w:color w:val="auto"/>
              </w:rPr>
              <w:t>Net revenue by distribution channel</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1"/>
        </w:trPr>
        <w:tc>
          <w:tcPr>
            <w:tcW w:w="5460" w:type="dxa"/>
            <w:vAlign w:val="bottom"/>
          </w:tcPr>
          <w:p>
            <w:pPr>
              <w:ind w:left="580"/>
              <w:spacing w:after="0"/>
              <w:rPr>
                <w:sz w:val="20"/>
                <w:szCs w:val="20"/>
                <w:color w:val="auto"/>
              </w:rPr>
            </w:pPr>
            <w:r>
              <w:rPr>
                <w:rFonts w:ascii="Arial" w:cs="Arial" w:eastAsia="Arial" w:hAnsi="Arial"/>
                <w:sz w:val="18"/>
                <w:szCs w:val="18"/>
                <w:color w:val="auto"/>
              </w:rPr>
              <w:t>Digital online</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740,806</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735,576</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24"/>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Physical retail and other</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72,540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4"/>
        </w:trPr>
        <w:tc>
          <w:tcPr>
            <w:tcW w:w="54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813,346</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831,310</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4"/>
        </w:trPr>
        <w:tc>
          <w:tcPr>
            <w:tcW w:w="5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1"/>
        </w:trPr>
        <w:tc>
          <w:tcPr>
            <w:tcW w:w="5460" w:type="dxa"/>
            <w:vAlign w:val="bottom"/>
          </w:tcPr>
          <w:p>
            <w:pPr>
              <w:ind w:left="200"/>
              <w:spacing w:after="0"/>
              <w:rPr>
                <w:sz w:val="20"/>
                <w:szCs w:val="20"/>
                <w:color w:val="auto"/>
              </w:rPr>
            </w:pPr>
            <w:r>
              <w:rPr>
                <w:rFonts w:ascii="Arial" w:cs="Arial" w:eastAsia="Arial" w:hAnsi="Arial"/>
                <w:sz w:val="18"/>
                <w:szCs w:val="18"/>
                <w:b w:val="1"/>
                <w:bCs w:val="1"/>
                <w:color w:val="auto"/>
              </w:rPr>
              <w:t>Net bookings by distribution channel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Digital online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680,385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924,539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5460" w:type="dxa"/>
            <w:vAlign w:val="bottom"/>
          </w:tcPr>
          <w:p>
            <w:pPr>
              <w:ind w:left="580"/>
              <w:spacing w:after="0"/>
              <w:rPr>
                <w:sz w:val="20"/>
                <w:szCs w:val="20"/>
                <w:color w:val="auto"/>
              </w:rPr>
            </w:pPr>
            <w:r>
              <w:rPr>
                <w:rFonts w:ascii="Arial" w:cs="Arial" w:eastAsia="Arial" w:hAnsi="Arial"/>
                <w:sz w:val="18"/>
                <w:szCs w:val="18"/>
                <w:color w:val="auto"/>
              </w:rPr>
              <w:t>Physical retail and other</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31,045</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71,711</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4"/>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bookings</w:t>
            </w:r>
          </w:p>
        </w:tc>
        <w:tc>
          <w:tcPr>
            <w:tcW w:w="200" w:type="dxa"/>
            <w:vAlign w:val="bottom"/>
            <w:tcBorders>
              <w:top w:val="single" w:sz="8" w:color="auto"/>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711,430</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996,249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608"/>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4"/>
          </w:tcPr>
          <w:p>
            <w:pPr>
              <w:jc w:val="center"/>
              <w:ind w:right="372"/>
              <w:spacing w:after="0"/>
              <w:rPr>
                <w:sz w:val="20"/>
                <w:szCs w:val="20"/>
                <w:color w:val="auto"/>
              </w:rPr>
            </w:pPr>
            <w:r>
              <w:rPr>
                <w:rFonts w:ascii="Arial" w:cs="Arial" w:eastAsia="Arial" w:hAnsi="Arial"/>
                <w:sz w:val="18"/>
                <w:szCs w:val="18"/>
                <w:b w:val="1"/>
                <w:bCs w:val="1"/>
                <w:color w:val="auto"/>
                <w:w w:val="89"/>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center"/>
              <w:ind w:right="312"/>
              <w:spacing w:after="0"/>
              <w:rPr>
                <w:sz w:val="20"/>
                <w:szCs w:val="20"/>
                <w:color w:val="auto"/>
              </w:rPr>
            </w:pPr>
            <w:r>
              <w:rPr>
                <w:rFonts w:ascii="Arial" w:cs="Arial" w:eastAsia="Arial" w:hAnsi="Arial"/>
                <w:sz w:val="18"/>
                <w:szCs w:val="18"/>
                <w:color w:val="auto"/>
                <w:w w:val="89"/>
              </w:rPr>
              <w:t>Three Months Ended</w:t>
            </w:r>
          </w:p>
        </w:tc>
      </w:tr>
      <w:tr>
        <w:trPr>
          <w:trHeight w:val="229"/>
        </w:trPr>
        <w:tc>
          <w:tcPr>
            <w:tcW w:w="5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b w:val="1"/>
                <w:bCs w:val="1"/>
                <w:color w:val="auto"/>
                <w:w w:val="87"/>
              </w:rPr>
              <w:t>June 30, 2021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color w:val="auto"/>
                <w:w w:val="85"/>
              </w:rPr>
              <w:t>June 30, 2020</w:t>
            </w:r>
          </w:p>
        </w:tc>
        <w:tc>
          <w:tcPr>
            <w:tcW w:w="160" w:type="dxa"/>
            <w:vAlign w:val="bottom"/>
          </w:tcPr>
          <w:p>
            <w:pPr>
              <w:spacing w:after="0"/>
              <w:rPr>
                <w:sz w:val="19"/>
                <w:szCs w:val="19"/>
                <w:color w:val="auto"/>
              </w:rPr>
            </w:pPr>
          </w:p>
        </w:tc>
      </w:tr>
      <w:tr>
        <w:trPr>
          <w:trHeight w:val="218"/>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 of Total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Amount</w:t>
            </w:r>
          </w:p>
        </w:tc>
        <w:tc>
          <w:tcPr>
            <w:tcW w:w="1380" w:type="dxa"/>
            <w:vAlign w:val="bottom"/>
            <w:gridSpan w:val="2"/>
          </w:tcPr>
          <w:p>
            <w:pPr>
              <w:jc w:val="right"/>
              <w:ind w:right="312"/>
              <w:spacing w:after="0"/>
              <w:rPr>
                <w:sz w:val="20"/>
                <w:szCs w:val="20"/>
                <w:color w:val="auto"/>
              </w:rPr>
            </w:pPr>
            <w:r>
              <w:rPr>
                <w:rFonts w:ascii="Arial" w:cs="Arial" w:eastAsia="Arial" w:hAnsi="Arial"/>
                <w:sz w:val="18"/>
                <w:szCs w:val="18"/>
                <w:color w:val="auto"/>
              </w:rPr>
              <w:t>% of Total</w:t>
            </w:r>
          </w:p>
        </w:tc>
      </w:tr>
      <w:tr>
        <w:trPr>
          <w:trHeight w:val="204"/>
        </w:trPr>
        <w:tc>
          <w:tcPr>
            <w:tcW w:w="5460" w:type="dxa"/>
            <w:vAlign w:val="bottom"/>
            <w:tcBorders>
              <w:top w:val="single" w:sz="8" w:color="CCEEFF"/>
            </w:tcBorders>
            <w:shd w:val="clear" w:color="auto" w:fill="CCEEFF"/>
          </w:tcPr>
          <w:p>
            <w:pPr>
              <w:ind w:left="200"/>
              <w:spacing w:after="0" w:line="204" w:lineRule="exact"/>
              <w:rPr>
                <w:sz w:val="20"/>
                <w:szCs w:val="20"/>
                <w:color w:val="auto"/>
              </w:rPr>
            </w:pPr>
            <w:r>
              <w:rPr>
                <w:rFonts w:ascii="Arial" w:cs="Arial" w:eastAsia="Arial" w:hAnsi="Arial"/>
                <w:sz w:val="18"/>
                <w:szCs w:val="18"/>
                <w:b w:val="1"/>
                <w:bCs w:val="1"/>
                <w:color w:val="auto"/>
              </w:rPr>
              <w:t>Net revenue by platform mix</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1"/>
        </w:trPr>
        <w:tc>
          <w:tcPr>
            <w:tcW w:w="5460" w:type="dxa"/>
            <w:vAlign w:val="bottom"/>
          </w:tcPr>
          <w:p>
            <w:pPr>
              <w:ind w:left="580"/>
              <w:spacing w:after="0"/>
              <w:rPr>
                <w:sz w:val="20"/>
                <w:szCs w:val="20"/>
                <w:color w:val="auto"/>
              </w:rPr>
            </w:pPr>
            <w:r>
              <w:rPr>
                <w:rFonts w:ascii="Arial" w:cs="Arial" w:eastAsia="Arial" w:hAnsi="Arial"/>
                <w:sz w:val="18"/>
                <w:szCs w:val="18"/>
                <w:color w:val="auto"/>
              </w:rPr>
              <w:t>Console</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602,443</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611,685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PC and other</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128,645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165,260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5460" w:type="dxa"/>
            <w:vAlign w:val="bottom"/>
          </w:tcPr>
          <w:p>
            <w:pPr>
              <w:ind w:left="580"/>
              <w:spacing w:after="0"/>
              <w:rPr>
                <w:sz w:val="20"/>
                <w:szCs w:val="20"/>
                <w:color w:val="auto"/>
              </w:rPr>
            </w:pPr>
            <w:r>
              <w:rPr>
                <w:rFonts w:ascii="Arial" w:cs="Arial" w:eastAsia="Arial" w:hAnsi="Arial"/>
                <w:sz w:val="18"/>
                <w:szCs w:val="18"/>
                <w:color w:val="auto"/>
              </w:rPr>
              <w:t>Mobile</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82,258</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54,365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4"/>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813,346</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831,310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204"/>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bookings by platform mix</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5460" w:type="dxa"/>
            <w:vAlign w:val="bottom"/>
          </w:tcPr>
          <w:p>
            <w:pPr>
              <w:ind w:left="580"/>
              <w:spacing w:after="0"/>
              <w:rPr>
                <w:sz w:val="20"/>
                <w:szCs w:val="20"/>
                <w:color w:val="auto"/>
              </w:rPr>
            </w:pPr>
            <w:r>
              <w:rPr>
                <w:rFonts w:ascii="Arial" w:cs="Arial" w:eastAsia="Arial" w:hAnsi="Arial"/>
                <w:sz w:val="18"/>
                <w:szCs w:val="18"/>
                <w:color w:val="auto"/>
              </w:rPr>
              <w:t>Console</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491,527</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722,798</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1"/>
        </w:trPr>
        <w:tc>
          <w:tcPr>
            <w:tcW w:w="5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PC and other</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130,114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5460" w:type="dxa"/>
            <w:vAlign w:val="bottom"/>
          </w:tcPr>
          <w:p>
            <w:pPr>
              <w:ind w:left="580"/>
              <w:spacing w:after="0"/>
              <w:rPr>
                <w:sz w:val="20"/>
                <w:szCs w:val="20"/>
                <w:color w:val="auto"/>
              </w:rPr>
            </w:pPr>
            <w:r>
              <w:rPr>
                <w:rFonts w:ascii="Arial" w:cs="Arial" w:eastAsia="Arial" w:hAnsi="Arial"/>
                <w:sz w:val="18"/>
                <w:szCs w:val="18"/>
                <w:color w:val="auto"/>
              </w:rPr>
              <w:t>Mobile</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89,789</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66,900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4"/>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bookings</w:t>
            </w:r>
          </w:p>
        </w:tc>
        <w:tc>
          <w:tcPr>
            <w:tcW w:w="200" w:type="dxa"/>
            <w:vAlign w:val="bottom"/>
            <w:tcBorders>
              <w:top w:val="single" w:sz="8" w:color="auto"/>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711,430</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996,249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w:t>
            </w:r>
          </w:p>
        </w:tc>
      </w:tr>
      <w:tr>
        <w:trPr>
          <w:trHeight w:val="626"/>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83"/>
              </w:rPr>
              <w:t>Cost of goods sold-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Software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8"/>
          </w:tcPr>
          <w:p>
            <w:pPr>
              <w:ind w:left="20"/>
              <w:spacing w:after="0"/>
              <w:rPr>
                <w:sz w:val="20"/>
                <w:szCs w:val="20"/>
                <w:color w:val="auto"/>
              </w:rPr>
            </w:pPr>
            <w:r>
              <w:rPr>
                <w:rFonts w:ascii="Arial" w:cs="Arial" w:eastAsia="Arial" w:hAnsi="Arial"/>
                <w:sz w:val="18"/>
                <w:szCs w:val="18"/>
                <w:b w:val="1"/>
                <w:bCs w:val="1"/>
                <w:color w:val="auto"/>
                <w:w w:val="85"/>
              </w:rPr>
              <w:t>Cost of goods sold-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84"/>
              </w:rPr>
              <w:t>development costs</w:t>
            </w:r>
          </w:p>
        </w:tc>
        <w:tc>
          <w:tcPr>
            <w:tcW w:w="20" w:type="dxa"/>
            <w:vAlign w:val="bottom"/>
          </w:tcPr>
          <w:p>
            <w:pPr>
              <w:spacing w:after="0"/>
              <w:rPr>
                <w:sz w:val="18"/>
                <w:szCs w:val="18"/>
                <w:color w:val="auto"/>
              </w:rPr>
            </w:pPr>
          </w:p>
        </w:tc>
        <w:tc>
          <w:tcPr>
            <w:tcW w:w="1600" w:type="dxa"/>
            <w:vAlign w:val="bottom"/>
            <w:gridSpan w:val="8"/>
          </w:tcPr>
          <w:p>
            <w:pPr>
              <w:jc w:val="center"/>
              <w:ind w:right="72"/>
              <w:spacing w:after="0"/>
              <w:rPr>
                <w:sz w:val="20"/>
                <w:szCs w:val="20"/>
                <w:color w:val="auto"/>
              </w:rPr>
            </w:pPr>
            <w:r>
              <w:rPr>
                <w:rFonts w:ascii="Arial" w:cs="Arial" w:eastAsia="Arial" w:hAnsi="Arial"/>
                <w:sz w:val="18"/>
                <w:szCs w:val="18"/>
                <w:b w:val="1"/>
                <w:bCs w:val="1"/>
                <w:color w:val="auto"/>
                <w:w w:val="82"/>
              </w:rPr>
              <w:t>Cost of goods sold-</w:t>
            </w:r>
          </w:p>
        </w:tc>
        <w:tc>
          <w:tcPr>
            <w:tcW w:w="1460" w:type="dxa"/>
            <w:vAlign w:val="bottom"/>
            <w:gridSpan w:val="6"/>
          </w:tcPr>
          <w:p>
            <w:pPr>
              <w:ind w:left="20"/>
              <w:spacing w:after="0"/>
              <w:rPr>
                <w:sz w:val="20"/>
                <w:szCs w:val="20"/>
                <w:color w:val="auto"/>
              </w:rPr>
            </w:pPr>
            <w:r>
              <w:rPr>
                <w:rFonts w:ascii="Arial" w:cs="Arial" w:eastAsia="Arial" w:hAnsi="Arial"/>
                <w:sz w:val="18"/>
                <w:szCs w:val="18"/>
                <w:b w:val="1"/>
                <w:bCs w:val="1"/>
                <w:color w:val="auto"/>
                <w:w w:val="83"/>
              </w:rPr>
              <w:t>Cost of goods sold-</w:t>
            </w:r>
          </w:p>
        </w:tc>
        <w:tc>
          <w:tcPr>
            <w:tcW w:w="12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6"/>
              </w:rPr>
              <w:t>General and</w:t>
            </w:r>
          </w:p>
        </w:tc>
      </w:tr>
      <w:tr>
        <w:trPr>
          <w:trHeight w:val="229"/>
        </w:trPr>
        <w:tc>
          <w:tcPr>
            <w:tcW w:w="3640" w:type="dxa"/>
            <w:vAlign w:val="bottom"/>
            <w:gridSpan w:val="8"/>
          </w:tcPr>
          <w:p>
            <w:pPr>
              <w:spacing w:after="0"/>
              <w:rPr>
                <w:sz w:val="20"/>
                <w:szCs w:val="20"/>
                <w:color w:val="auto"/>
              </w:rPr>
            </w:pPr>
            <w:r>
              <w:rPr>
                <w:rFonts w:ascii="Arial" w:cs="Arial" w:eastAsia="Arial" w:hAnsi="Arial"/>
                <w:sz w:val="18"/>
                <w:szCs w:val="18"/>
                <w:b w:val="1"/>
                <w:bCs w:val="1"/>
                <w:color w:val="auto"/>
                <w:w w:val="88"/>
              </w:rPr>
              <w:t>Three Months Ended June 30, 2021 Net revenue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ind w:left="60"/>
              <w:spacing w:after="0"/>
              <w:rPr>
                <w:sz w:val="20"/>
                <w:szCs w:val="20"/>
                <w:color w:val="auto"/>
              </w:rPr>
            </w:pPr>
            <w:r>
              <w:rPr>
                <w:rFonts w:ascii="Arial" w:cs="Arial" w:eastAsia="Arial" w:hAnsi="Arial"/>
                <w:sz w:val="18"/>
                <w:szCs w:val="18"/>
                <w:b w:val="1"/>
                <w:bCs w:val="1"/>
                <w:color w:val="auto"/>
                <w:w w:val="97"/>
              </w:rPr>
              <w:t>Internal royalties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and royalties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Licenses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6"/>
          </w:tcPr>
          <w:p>
            <w:pPr>
              <w:ind w:left="220"/>
              <w:spacing w:after="0"/>
              <w:rPr>
                <w:sz w:val="20"/>
                <w:szCs w:val="20"/>
                <w:color w:val="auto"/>
              </w:rPr>
            </w:pPr>
            <w:r>
              <w:rPr>
                <w:rFonts w:ascii="Arial" w:cs="Arial" w:eastAsia="Arial" w:hAnsi="Arial"/>
                <w:sz w:val="18"/>
                <w:szCs w:val="18"/>
                <w:b w:val="1"/>
                <w:bCs w:val="1"/>
                <w:color w:val="auto"/>
              </w:rPr>
              <w:t>Product costs</w:t>
            </w:r>
          </w:p>
        </w:tc>
        <w:tc>
          <w:tcPr>
            <w:tcW w:w="1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5"/>
              </w:rPr>
              <w:t>administrative</w:t>
            </w:r>
          </w:p>
        </w:tc>
      </w:tr>
      <w:tr>
        <w:trPr>
          <w:trHeight w:val="205"/>
        </w:trPr>
        <w:tc>
          <w:tcPr>
            <w:tcW w:w="2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reported</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5"/>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813,346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5"/>
            <w:shd w:val="clear" w:color="auto" w:fill="CCEEFF"/>
          </w:tcPr>
          <w:p>
            <w:pPr>
              <w:jc w:val="right"/>
              <w:spacing w:after="0" w:line="205" w:lineRule="exact"/>
              <w:rPr>
                <w:sz w:val="20"/>
                <w:szCs w:val="20"/>
                <w:color w:val="auto"/>
              </w:rPr>
            </w:pPr>
            <w:r>
              <w:rPr>
                <w:rFonts w:ascii="Arial" w:cs="Arial" w:eastAsia="Arial" w:hAnsi="Arial"/>
                <w:sz w:val="18"/>
                <w:szCs w:val="18"/>
                <w:color w:val="auto"/>
              </w:rPr>
              <w:t>145,378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5"/>
            <w:shd w:val="clear" w:color="auto" w:fill="CCEEFF"/>
          </w:tcPr>
          <w:p>
            <w:pPr>
              <w:jc w:val="right"/>
              <w:spacing w:after="0" w:line="205" w:lineRule="exact"/>
              <w:rPr>
                <w:sz w:val="20"/>
                <w:szCs w:val="20"/>
                <w:color w:val="auto"/>
              </w:rPr>
            </w:pPr>
            <w:r>
              <w:rPr>
                <w:rFonts w:ascii="Arial" w:cs="Arial" w:eastAsia="Arial" w:hAnsi="Arial"/>
                <w:sz w:val="18"/>
                <w:szCs w:val="18"/>
                <w:color w:val="auto"/>
              </w:rPr>
              <w:t>87,037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4"/>
            <w:shd w:val="clear" w:color="auto" w:fill="CCEEFF"/>
          </w:tcPr>
          <w:p>
            <w:pPr>
              <w:jc w:val="center"/>
              <w:ind w:left="532"/>
              <w:spacing w:after="0" w:line="205" w:lineRule="exact"/>
              <w:rPr>
                <w:sz w:val="20"/>
                <w:szCs w:val="20"/>
                <w:color w:val="auto"/>
              </w:rPr>
            </w:pPr>
            <w:r>
              <w:rPr>
                <w:rFonts w:ascii="Arial" w:cs="Arial" w:eastAsia="Arial" w:hAnsi="Arial"/>
                <w:sz w:val="18"/>
                <w:szCs w:val="18"/>
                <w:color w:val="auto"/>
                <w:w w:val="87"/>
              </w:rPr>
              <w:t>50,404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rPr>
              <w:t>46,896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104,447</w:t>
            </w:r>
          </w:p>
        </w:tc>
        <w:tc>
          <w:tcPr>
            <w:tcW w:w="80" w:type="dxa"/>
            <w:vAlign w:val="bottom"/>
            <w:tcBorders>
              <w:top w:val="single" w:sz="8" w:color="CCEEFF"/>
            </w:tcBorders>
            <w:shd w:val="clear" w:color="auto" w:fill="CCEEFF"/>
          </w:tcPr>
          <w:p>
            <w:pPr>
              <w:spacing w:after="0"/>
              <w:rPr>
                <w:sz w:val="17"/>
                <w:szCs w:val="17"/>
                <w:color w:val="auto"/>
              </w:rPr>
            </w:pPr>
          </w:p>
        </w:tc>
      </w:tr>
      <w:tr>
        <w:trPr>
          <w:trHeight w:val="199"/>
        </w:trPr>
        <w:tc>
          <w:tcPr>
            <w:tcW w:w="2660" w:type="dxa"/>
            <w:vAlign w:val="bottom"/>
          </w:tcPr>
          <w:p>
            <w:pPr>
              <w:ind w:left="160"/>
              <w:spacing w:after="0" w:line="199" w:lineRule="exact"/>
              <w:rPr>
                <w:sz w:val="20"/>
                <w:szCs w:val="20"/>
                <w:color w:val="auto"/>
              </w:rPr>
            </w:pPr>
            <w:r>
              <w:rPr>
                <w:rFonts w:ascii="Arial" w:cs="Arial" w:eastAsia="Arial" w:hAnsi="Arial"/>
                <w:sz w:val="18"/>
                <w:szCs w:val="18"/>
                <w:color w:val="auto"/>
              </w:rPr>
              <w:t>Net effect from deferrned net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660" w:type="dxa"/>
            <w:vAlign w:val="bottom"/>
          </w:tcPr>
          <w:p>
            <w:pPr>
              <w:ind w:left="320"/>
              <w:spacing w:after="0"/>
              <w:rPr>
                <w:sz w:val="20"/>
                <w:szCs w:val="20"/>
                <w:color w:val="auto"/>
              </w:rPr>
            </w:pPr>
            <w:r>
              <w:rPr>
                <w:rFonts w:ascii="Arial" w:cs="Arial" w:eastAsia="Arial" w:hAnsi="Arial"/>
                <w:sz w:val="18"/>
                <w:szCs w:val="18"/>
                <w:color w:val="auto"/>
              </w:rPr>
              <w:t>revenue and related cost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goods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w w:val="90"/>
              </w:rPr>
              <w:t>(101,916)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6"/>
          </w:tcPr>
          <w:p>
            <w:pPr>
              <w:jc w:val="right"/>
              <w:ind w:right="40"/>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6"/>
          </w:tcPr>
          <w:p>
            <w:pPr>
              <w:jc w:val="right"/>
              <w:ind w:right="12"/>
              <w:spacing w:after="0"/>
              <w:rPr>
                <w:sz w:val="20"/>
                <w:szCs w:val="20"/>
                <w:color w:val="auto"/>
              </w:rPr>
            </w:pPr>
            <w:r>
              <w:rPr>
                <w:rFonts w:ascii="Arial" w:cs="Arial" w:eastAsia="Arial" w:hAnsi="Arial"/>
                <w:sz w:val="18"/>
                <w:szCs w:val="18"/>
                <w:color w:val="auto"/>
              </w:rPr>
              <w:t>(138)</w:t>
            </w:r>
          </w:p>
        </w:tc>
        <w:tc>
          <w:tcPr>
            <w:tcW w:w="76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(5,137)</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(12,050)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(17,197)</w:t>
            </w:r>
          </w:p>
        </w:tc>
      </w:tr>
      <w:tr>
        <w:trPr>
          <w:trHeight w:val="199"/>
        </w:trPr>
        <w:tc>
          <w:tcPr>
            <w:tcW w:w="2660" w:type="dxa"/>
            <w:vAlign w:val="bottom"/>
          </w:tcPr>
          <w:p>
            <w:pPr>
              <w:ind w:left="160"/>
              <w:spacing w:after="0" w:line="199" w:lineRule="exact"/>
              <w:rPr>
                <w:sz w:val="20"/>
                <w:szCs w:val="20"/>
                <w:color w:val="auto"/>
              </w:rPr>
            </w:pPr>
            <w:r>
              <w:rPr>
                <w:rFonts w:ascii="Arial" w:cs="Arial" w:eastAsia="Arial" w:hAnsi="Arial"/>
                <w:sz w:val="18"/>
                <w:szCs w:val="18"/>
                <w:color w:val="auto"/>
                <w:w w:val="99"/>
              </w:rPr>
              <w:t>Amortization and impairment of</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acquired intangibles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6"/>
          </w:tcPr>
          <w:p>
            <w:pPr>
              <w:jc w:val="right"/>
              <w:ind w:right="40"/>
              <w:spacing w:after="0"/>
              <w:rPr>
                <w:sz w:val="20"/>
                <w:szCs w:val="20"/>
                <w:color w:val="auto"/>
              </w:rPr>
            </w:pPr>
            <w:r>
              <w:rPr>
                <w:rFonts w:ascii="Arial" w:cs="Arial" w:eastAsia="Arial" w:hAnsi="Arial"/>
                <w:sz w:val="18"/>
                <w:szCs w:val="18"/>
                <w:color w:val="auto"/>
              </w:rPr>
              <w:t>(11,112)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expenses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(2,186)</w:t>
            </w:r>
          </w:p>
        </w:tc>
      </w:tr>
      <w:tr>
        <w:trPr>
          <w:trHeight w:val="430"/>
        </w:trPr>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3"/>
              </w:rPr>
              <w:t>Gain on long-</w:t>
            </w:r>
          </w:p>
        </w:tc>
      </w:t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85"/>
              </w:rPr>
              <w:t>Selling and</w:t>
            </w:r>
          </w:p>
        </w:tc>
        <w:tc>
          <w:tcPr>
            <w:tcW w:w="118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84"/>
              </w:rPr>
              <w:t>Research and</w:t>
            </w:r>
          </w:p>
        </w:tc>
        <w:tc>
          <w:tcPr>
            <w:tcW w:w="1740" w:type="dxa"/>
            <w:vAlign w:val="bottom"/>
            <w:gridSpan w:val="11"/>
          </w:tcPr>
          <w:p>
            <w:pPr>
              <w:ind w:left="100"/>
              <w:spacing w:after="0"/>
              <w:rPr>
                <w:sz w:val="20"/>
                <w:szCs w:val="20"/>
                <w:color w:val="auto"/>
              </w:rPr>
            </w:pPr>
            <w:r>
              <w:rPr>
                <w:rFonts w:ascii="Arial" w:cs="Arial" w:eastAsia="Arial" w:hAnsi="Arial"/>
                <w:sz w:val="18"/>
                <w:szCs w:val="18"/>
                <w:b w:val="1"/>
                <w:bCs w:val="1"/>
                <w:color w:val="auto"/>
              </w:rPr>
              <w:t>Depreciation and</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9"/>
              </w:rPr>
              <w:t>Business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8"/>
          </w:tcPr>
          <w:p>
            <w:pPr>
              <w:ind w:left="40"/>
              <w:spacing w:after="0"/>
              <w:rPr>
                <w:sz w:val="20"/>
                <w:szCs w:val="20"/>
                <w:color w:val="auto"/>
              </w:rPr>
            </w:pPr>
            <w:r>
              <w:rPr>
                <w:rFonts w:ascii="Arial" w:cs="Arial" w:eastAsia="Arial" w:hAnsi="Arial"/>
                <w:sz w:val="18"/>
                <w:szCs w:val="18"/>
                <w:b w:val="1"/>
                <w:bCs w:val="1"/>
                <w:color w:val="auto"/>
                <w:w w:val="99"/>
              </w:rPr>
              <w:t>Interest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term</w:t>
            </w:r>
          </w:p>
        </w:tc>
      </w:tr>
      <w:tr>
        <w:trPr>
          <w:trHeight w:val="229"/>
        </w:trPr>
        <w:tc>
          <w:tcPr>
            <w:tcW w:w="2660" w:type="dxa"/>
            <w:vAlign w:val="bottom"/>
          </w:tcPr>
          <w:p>
            <w:pPr>
              <w:spacing w:after="0"/>
              <w:rPr>
                <w:sz w:val="20"/>
                <w:szCs w:val="20"/>
                <w:color w:val="auto"/>
              </w:rPr>
            </w:pPr>
            <w:r>
              <w:rPr>
                <w:rFonts w:ascii="Arial" w:cs="Arial" w:eastAsia="Arial" w:hAnsi="Arial"/>
                <w:sz w:val="18"/>
                <w:szCs w:val="18"/>
                <w:b w:val="1"/>
                <w:bCs w:val="1"/>
                <w:color w:val="auto"/>
                <w:w w:val="87"/>
              </w:rPr>
              <w:t>Three Months Ended June 30, 2021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2"/>
              </w:rPr>
              <w:t>marketing</w:t>
            </w:r>
          </w:p>
        </w:tc>
        <w:tc>
          <w:tcPr>
            <w:tcW w:w="118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86"/>
              </w:rPr>
              <w:t>development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3"/>
              </w:rPr>
              <w:t>amortization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reorganization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46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3"/>
              </w:rPr>
              <w:t>investments, net</w:t>
            </w:r>
          </w:p>
        </w:tc>
      </w:tr>
      <w:tr>
        <w:trPr>
          <w:trHeight w:val="205"/>
        </w:trPr>
        <w:tc>
          <w:tcPr>
            <w:tcW w:w="2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reported</w:t>
            </w: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6"/>
            <w:shd w:val="clear" w:color="auto" w:fill="CCEEFF"/>
          </w:tcPr>
          <w:p>
            <w:pPr>
              <w:jc w:val="right"/>
              <w:spacing w:after="0" w:line="205" w:lineRule="exact"/>
              <w:rPr>
                <w:sz w:val="20"/>
                <w:szCs w:val="20"/>
                <w:color w:val="auto"/>
              </w:rPr>
            </w:pPr>
            <w:r>
              <w:rPr>
                <w:rFonts w:ascii="Arial" w:cs="Arial" w:eastAsia="Arial" w:hAnsi="Arial"/>
                <w:sz w:val="18"/>
                <w:szCs w:val="18"/>
                <w:color w:val="auto"/>
              </w:rPr>
              <w:t>103,854</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7"/>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92,294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6"/>
            <w:shd w:val="clear" w:color="auto" w:fill="CCEEFF"/>
          </w:tcPr>
          <w:p>
            <w:pPr>
              <w:jc w:val="right"/>
              <w:spacing w:after="0" w:line="205" w:lineRule="exact"/>
              <w:rPr>
                <w:sz w:val="20"/>
                <w:szCs w:val="20"/>
                <w:color w:val="auto"/>
              </w:rPr>
            </w:pPr>
            <w:r>
              <w:rPr>
                <w:rFonts w:ascii="Arial" w:cs="Arial" w:eastAsia="Arial" w:hAnsi="Arial"/>
                <w:sz w:val="18"/>
                <w:szCs w:val="18"/>
                <w:color w:val="auto"/>
              </w:rPr>
              <w:t>12,465</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center"/>
              <w:ind w:left="692"/>
              <w:spacing w:after="0" w:line="205" w:lineRule="exact"/>
              <w:rPr>
                <w:sz w:val="20"/>
                <w:szCs w:val="20"/>
                <w:color w:val="auto"/>
              </w:rPr>
            </w:pPr>
            <w:r>
              <w:rPr>
                <w:rFonts w:ascii="Arial" w:cs="Arial" w:eastAsia="Arial" w:hAnsi="Arial"/>
                <w:sz w:val="18"/>
                <w:szCs w:val="18"/>
                <w:color w:val="auto"/>
                <w:w w:val="79"/>
              </w:rPr>
              <w:t>97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(1,027)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1,997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9"/>
        </w:trPr>
        <w:tc>
          <w:tcPr>
            <w:tcW w:w="2980" w:type="dxa"/>
            <w:vAlign w:val="bottom"/>
            <w:gridSpan w:val="3"/>
          </w:tcPr>
          <w:p>
            <w:pPr>
              <w:ind w:left="160"/>
              <w:spacing w:after="0" w:line="199" w:lineRule="exact"/>
              <w:rPr>
                <w:sz w:val="20"/>
                <w:szCs w:val="20"/>
                <w:color w:val="auto"/>
              </w:rPr>
            </w:pPr>
            <w:r>
              <w:rPr>
                <w:rFonts w:ascii="Arial" w:cs="Arial" w:eastAsia="Arial" w:hAnsi="Arial"/>
                <w:sz w:val="18"/>
                <w:szCs w:val="18"/>
                <w:color w:val="auto"/>
                <w:w w:val="93"/>
              </w:rPr>
              <w:t>Net effect from deferrned net 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w w:val="96"/>
              </w:rPr>
              <w:t>and related cost of goods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gridSpan w:val="4"/>
          </w:tcPr>
          <w:p>
            <w:pPr>
              <w:jc w:val="right"/>
              <w:ind w:right="32"/>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7"/>
              </w:rPr>
              <w:t>(8,033)</w:t>
            </w:r>
          </w:p>
        </w:tc>
        <w:tc>
          <w:tcPr>
            <w:tcW w:w="1180" w:type="dxa"/>
            <w:vAlign w:val="bottom"/>
            <w:gridSpan w:val="10"/>
            <w:shd w:val="clear" w:color="auto" w:fill="CCEEFF"/>
          </w:tcPr>
          <w:p>
            <w:pPr>
              <w:jc w:val="right"/>
              <w:ind w:right="40"/>
              <w:spacing w:after="0"/>
              <w:rPr>
                <w:sz w:val="20"/>
                <w:szCs w:val="20"/>
                <w:color w:val="auto"/>
              </w:rPr>
            </w:pPr>
            <w:r>
              <w:rPr>
                <w:rFonts w:ascii="Arial" w:cs="Arial" w:eastAsia="Arial" w:hAnsi="Arial"/>
                <w:sz w:val="18"/>
                <w:szCs w:val="18"/>
                <w:color w:val="auto"/>
              </w:rPr>
              <w:t>(11,770)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9"/>
        </w:trPr>
        <w:tc>
          <w:tcPr>
            <w:tcW w:w="2660" w:type="dxa"/>
            <w:vAlign w:val="bottom"/>
          </w:tcPr>
          <w:p>
            <w:pPr>
              <w:ind w:left="160"/>
              <w:spacing w:after="0" w:line="199" w:lineRule="exact"/>
              <w:rPr>
                <w:sz w:val="20"/>
                <w:szCs w:val="20"/>
                <w:color w:val="auto"/>
              </w:rPr>
            </w:pPr>
            <w:r>
              <w:rPr>
                <w:rFonts w:ascii="Arial" w:cs="Arial" w:eastAsia="Arial" w:hAnsi="Arial"/>
                <w:sz w:val="18"/>
                <w:szCs w:val="18"/>
                <w:color w:val="auto"/>
                <w:w w:val="99"/>
              </w:rPr>
              <w:t>Amortization and impairment of</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acquired intangibles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(1,817)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8"/>
          </w:tcPr>
          <w:p>
            <w:pPr>
              <w:jc w:val="right"/>
              <w:ind w:right="40"/>
              <w:spacing w:after="0"/>
              <w:rPr>
                <w:sz w:val="20"/>
                <w:szCs w:val="20"/>
                <w:color w:val="auto"/>
              </w:rPr>
            </w:pPr>
            <w:r>
              <w:rPr>
                <w:rFonts w:ascii="Arial" w:cs="Arial" w:eastAsia="Arial" w:hAnsi="Arial"/>
                <w:sz w:val="18"/>
                <w:szCs w:val="18"/>
                <w:color w:val="auto"/>
                <w:w w:val="94"/>
              </w:rPr>
              <w:t>(1,706)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6"/>
          </w:tcPr>
          <w:p>
            <w:pPr>
              <w:jc w:val="right"/>
              <w:ind w:right="58"/>
              <w:spacing w:after="0"/>
              <w:rPr>
                <w:sz w:val="20"/>
                <w:szCs w:val="20"/>
                <w:color w:val="auto"/>
              </w:rPr>
            </w:pPr>
            <w:r>
              <w:rPr>
                <w:rFonts w:ascii="Arial" w:cs="Arial" w:eastAsia="Arial" w:hAnsi="Arial"/>
                <w:sz w:val="18"/>
                <w:szCs w:val="18"/>
                <w:color w:val="auto"/>
                <w:w w:val="90"/>
              </w:rPr>
              <w:t>(371)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Impact of business reorganization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left="532"/>
              <w:spacing w:after="0"/>
              <w:rPr>
                <w:sz w:val="20"/>
                <w:szCs w:val="20"/>
                <w:color w:val="auto"/>
              </w:rPr>
            </w:pPr>
            <w:r>
              <w:rPr>
                <w:rFonts w:ascii="Arial" w:cs="Arial" w:eastAsia="Arial" w:hAnsi="Arial"/>
                <w:sz w:val="18"/>
                <w:szCs w:val="18"/>
                <w:color w:val="auto"/>
                <w:w w:val="87"/>
              </w:rPr>
              <w:t>(97)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660" w:type="dxa"/>
            <w:vAlign w:val="bottom"/>
          </w:tcPr>
          <w:p>
            <w:pPr>
              <w:ind w:left="160"/>
              <w:spacing w:after="0"/>
              <w:rPr>
                <w:sz w:val="20"/>
                <w:szCs w:val="20"/>
                <w:color w:val="auto"/>
              </w:rPr>
            </w:pPr>
            <w:r>
              <w:rPr>
                <w:rFonts w:ascii="Arial" w:cs="Arial" w:eastAsia="Arial" w:hAnsi="Arial"/>
                <w:sz w:val="18"/>
                <w:szCs w:val="18"/>
                <w:color w:val="auto"/>
                <w:w w:val="88"/>
              </w:rPr>
              <w:t>Gain on long-term investments, net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(1,997)</w:t>
            </w:r>
          </w:p>
        </w:tc>
      </w:tr>
      <w:tr>
        <w:trPr>
          <w:trHeight w:val="392"/>
        </w:trPr>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11"/>
          </w:tcPr>
          <w:p>
            <w:pPr>
              <w:ind w:left="20"/>
              <w:spacing w:after="0"/>
              <w:rPr>
                <w:sz w:val="20"/>
                <w:szCs w:val="20"/>
                <w:color w:val="auto"/>
              </w:rPr>
            </w:pPr>
            <w:r>
              <w:rPr>
                <w:rFonts w:ascii="Arial" w:cs="Arial" w:eastAsia="Arial" w:hAnsi="Arial"/>
                <w:sz w:val="18"/>
                <w:szCs w:val="18"/>
                <w:b w:val="1"/>
                <w:bCs w:val="1"/>
                <w:color w:val="auto"/>
                <w:w w:val="91"/>
              </w:rPr>
              <w:t>Cost of goods sold-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Software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9"/>
          </w:tcPr>
          <w:p>
            <w:pPr>
              <w:spacing w:after="0"/>
              <w:rPr>
                <w:sz w:val="20"/>
                <w:szCs w:val="20"/>
                <w:color w:val="auto"/>
              </w:rPr>
            </w:pPr>
            <w:r>
              <w:rPr>
                <w:rFonts w:ascii="Arial" w:cs="Arial" w:eastAsia="Arial" w:hAnsi="Arial"/>
                <w:sz w:val="18"/>
                <w:szCs w:val="18"/>
                <w:b w:val="1"/>
                <w:bCs w:val="1"/>
                <w:color w:val="auto"/>
                <w:w w:val="87"/>
              </w:rPr>
              <w:t>Cost of goods sold-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83"/>
              </w:rPr>
              <w:t>development costs</w:t>
            </w:r>
          </w:p>
        </w:tc>
        <w:tc>
          <w:tcPr>
            <w:tcW w:w="20" w:type="dxa"/>
            <w:vAlign w:val="bottom"/>
          </w:tcPr>
          <w:p>
            <w:pPr>
              <w:spacing w:after="0"/>
              <w:rPr>
                <w:sz w:val="18"/>
                <w:szCs w:val="18"/>
                <w:color w:val="auto"/>
              </w:rPr>
            </w:pPr>
          </w:p>
        </w:tc>
        <w:tc>
          <w:tcPr>
            <w:tcW w:w="1600" w:type="dxa"/>
            <w:vAlign w:val="bottom"/>
            <w:gridSpan w:val="8"/>
          </w:tcPr>
          <w:p>
            <w:pPr>
              <w:jc w:val="center"/>
              <w:ind w:right="72"/>
              <w:spacing w:after="0"/>
              <w:rPr>
                <w:sz w:val="20"/>
                <w:szCs w:val="20"/>
                <w:color w:val="auto"/>
              </w:rPr>
            </w:pPr>
            <w:r>
              <w:rPr>
                <w:rFonts w:ascii="Arial" w:cs="Arial" w:eastAsia="Arial" w:hAnsi="Arial"/>
                <w:sz w:val="18"/>
                <w:szCs w:val="18"/>
                <w:b w:val="1"/>
                <w:bCs w:val="1"/>
                <w:color w:val="auto"/>
                <w:w w:val="82"/>
              </w:rPr>
              <w:t>Cost of goods sold-</w:t>
            </w:r>
          </w:p>
        </w:tc>
        <w:tc>
          <w:tcPr>
            <w:tcW w:w="1460" w:type="dxa"/>
            <w:vAlign w:val="bottom"/>
            <w:gridSpan w:val="6"/>
          </w:tcPr>
          <w:p>
            <w:pPr>
              <w:ind w:left="20"/>
              <w:spacing w:after="0"/>
              <w:rPr>
                <w:sz w:val="20"/>
                <w:szCs w:val="20"/>
                <w:color w:val="auto"/>
              </w:rPr>
            </w:pPr>
            <w:r>
              <w:rPr>
                <w:rFonts w:ascii="Arial" w:cs="Arial" w:eastAsia="Arial" w:hAnsi="Arial"/>
                <w:sz w:val="18"/>
                <w:szCs w:val="18"/>
                <w:b w:val="1"/>
                <w:bCs w:val="1"/>
                <w:color w:val="auto"/>
                <w:w w:val="83"/>
              </w:rPr>
              <w:t>Cost of goods sold-</w:t>
            </w:r>
          </w:p>
        </w:tc>
        <w:tc>
          <w:tcPr>
            <w:tcW w:w="12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6"/>
              </w:rPr>
              <w:t>General and</w:t>
            </w:r>
          </w:p>
        </w:tc>
      </w:tr>
      <w:tr>
        <w:trPr>
          <w:trHeight w:val="229"/>
        </w:trPr>
        <w:tc>
          <w:tcPr>
            <w:tcW w:w="3640" w:type="dxa"/>
            <w:vAlign w:val="bottom"/>
            <w:gridSpan w:val="8"/>
          </w:tcPr>
          <w:p>
            <w:pPr>
              <w:spacing w:after="0"/>
              <w:rPr>
                <w:sz w:val="20"/>
                <w:szCs w:val="20"/>
                <w:color w:val="auto"/>
              </w:rPr>
            </w:pPr>
            <w:r>
              <w:rPr>
                <w:rFonts w:ascii="Arial" w:cs="Arial" w:eastAsia="Arial" w:hAnsi="Arial"/>
                <w:sz w:val="18"/>
                <w:szCs w:val="18"/>
                <w:b w:val="1"/>
                <w:bCs w:val="1"/>
                <w:color w:val="auto"/>
                <w:w w:val="88"/>
              </w:rPr>
              <w:t>Three Months Ended June 30, 2020 Net revenue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ind w:left="40"/>
              <w:spacing w:after="0"/>
              <w:rPr>
                <w:sz w:val="20"/>
                <w:szCs w:val="20"/>
                <w:color w:val="auto"/>
              </w:rPr>
            </w:pPr>
            <w:r>
              <w:rPr>
                <w:rFonts w:ascii="Arial" w:cs="Arial" w:eastAsia="Arial" w:hAnsi="Arial"/>
                <w:sz w:val="18"/>
                <w:szCs w:val="18"/>
                <w:b w:val="1"/>
                <w:bCs w:val="1"/>
                <w:color w:val="auto"/>
                <w:w w:val="98"/>
              </w:rPr>
              <w:t>Internal royalties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and royalties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Licenses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6"/>
          </w:tcPr>
          <w:p>
            <w:pPr>
              <w:ind w:left="220"/>
              <w:spacing w:after="0"/>
              <w:rPr>
                <w:sz w:val="20"/>
                <w:szCs w:val="20"/>
                <w:color w:val="auto"/>
              </w:rPr>
            </w:pPr>
            <w:r>
              <w:rPr>
                <w:rFonts w:ascii="Arial" w:cs="Arial" w:eastAsia="Arial" w:hAnsi="Arial"/>
                <w:sz w:val="18"/>
                <w:szCs w:val="18"/>
                <w:b w:val="1"/>
                <w:bCs w:val="1"/>
                <w:color w:val="auto"/>
              </w:rPr>
              <w:t>Product costs</w:t>
            </w:r>
          </w:p>
        </w:tc>
        <w:tc>
          <w:tcPr>
            <w:tcW w:w="1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5"/>
              </w:rPr>
              <w:t>administrative</w:t>
            </w:r>
          </w:p>
        </w:tc>
      </w:tr>
      <w:tr>
        <w:trPr>
          <w:trHeight w:val="205"/>
        </w:trPr>
        <w:tc>
          <w:tcPr>
            <w:tcW w:w="2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reported</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5"/>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831,310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4"/>
            <w:shd w:val="clear" w:color="auto" w:fill="CCEEFF"/>
          </w:tcPr>
          <w:p>
            <w:pPr>
              <w:jc w:val="center"/>
              <w:ind w:left="193"/>
              <w:spacing w:after="0" w:line="205" w:lineRule="exact"/>
              <w:rPr>
                <w:sz w:val="20"/>
                <w:szCs w:val="20"/>
                <w:color w:val="auto"/>
              </w:rPr>
            </w:pPr>
            <w:r>
              <w:rPr>
                <w:rFonts w:ascii="Arial" w:cs="Arial" w:eastAsia="Arial" w:hAnsi="Arial"/>
                <w:sz w:val="18"/>
                <w:szCs w:val="18"/>
                <w:color w:val="auto"/>
                <w:w w:val="86"/>
              </w:rPr>
              <w:t>214,063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rPr>
              <w:t>148,047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4"/>
            <w:shd w:val="clear" w:color="auto" w:fill="CCEEFF"/>
          </w:tcPr>
          <w:p>
            <w:pPr>
              <w:jc w:val="center"/>
              <w:ind w:left="532"/>
              <w:spacing w:after="0" w:line="205" w:lineRule="exact"/>
              <w:rPr>
                <w:sz w:val="20"/>
                <w:szCs w:val="20"/>
                <w:color w:val="auto"/>
              </w:rPr>
            </w:pPr>
            <w:r>
              <w:rPr>
                <w:rFonts w:ascii="Arial" w:cs="Arial" w:eastAsia="Arial" w:hAnsi="Arial"/>
                <w:sz w:val="18"/>
                <w:szCs w:val="18"/>
                <w:color w:val="auto"/>
                <w:w w:val="87"/>
              </w:rPr>
              <w:t>56,019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rPr>
              <w:t>58,560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102,173</w:t>
            </w:r>
          </w:p>
        </w:tc>
        <w:tc>
          <w:tcPr>
            <w:tcW w:w="80" w:type="dxa"/>
            <w:vAlign w:val="bottom"/>
            <w:tcBorders>
              <w:top w:val="single" w:sz="8" w:color="CCEEFF"/>
            </w:tcBorders>
            <w:shd w:val="clear" w:color="auto" w:fill="CCEEFF"/>
          </w:tcPr>
          <w:p>
            <w:pPr>
              <w:spacing w:after="0"/>
              <w:rPr>
                <w:sz w:val="17"/>
                <w:szCs w:val="17"/>
                <w:color w:val="auto"/>
              </w:rPr>
            </w:pPr>
          </w:p>
        </w:tc>
      </w:tr>
      <w:tr>
        <w:trPr>
          <w:trHeight w:val="199"/>
        </w:trPr>
        <w:tc>
          <w:tcPr>
            <w:tcW w:w="2660" w:type="dxa"/>
            <w:vAlign w:val="bottom"/>
          </w:tcPr>
          <w:p>
            <w:pPr>
              <w:ind w:left="160"/>
              <w:spacing w:after="0" w:line="199" w:lineRule="exact"/>
              <w:rPr>
                <w:sz w:val="20"/>
                <w:szCs w:val="20"/>
                <w:color w:val="auto"/>
              </w:rPr>
            </w:pPr>
            <w:r>
              <w:rPr>
                <w:rFonts w:ascii="Arial" w:cs="Arial" w:eastAsia="Arial" w:hAnsi="Arial"/>
                <w:sz w:val="18"/>
                <w:szCs w:val="18"/>
                <w:color w:val="auto"/>
              </w:rPr>
              <w:t>Net effect from deferrned net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660" w:type="dxa"/>
            <w:vAlign w:val="bottom"/>
          </w:tcPr>
          <w:p>
            <w:pPr>
              <w:ind w:left="320"/>
              <w:spacing w:after="0"/>
              <w:rPr>
                <w:sz w:val="20"/>
                <w:szCs w:val="20"/>
                <w:color w:val="auto"/>
              </w:rPr>
            </w:pPr>
            <w:r>
              <w:rPr>
                <w:rFonts w:ascii="Arial" w:cs="Arial" w:eastAsia="Arial" w:hAnsi="Arial"/>
                <w:sz w:val="18"/>
                <w:szCs w:val="18"/>
                <w:color w:val="auto"/>
              </w:rPr>
              <w:t>revenue and related cost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goods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98"/>
              </w:rPr>
              <w:t>164,939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6"/>
          </w:tcPr>
          <w:p>
            <w:pPr>
              <w:jc w:val="right"/>
              <w:ind w:right="12"/>
              <w:spacing w:after="0"/>
              <w:rPr>
                <w:sz w:val="20"/>
                <w:szCs w:val="20"/>
                <w:color w:val="auto"/>
              </w:rPr>
            </w:pPr>
            <w:r>
              <w:rPr>
                <w:rFonts w:ascii="Arial" w:cs="Arial" w:eastAsia="Arial" w:hAnsi="Arial"/>
                <w:sz w:val="18"/>
                <w:szCs w:val="18"/>
                <w:color w:val="auto"/>
              </w:rPr>
              <w:t>(450)</w:t>
            </w:r>
          </w:p>
        </w:tc>
        <w:tc>
          <w:tcPr>
            <w:tcW w:w="76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(4,823)</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(29,033)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(13,200)</w:t>
            </w:r>
          </w:p>
        </w:tc>
      </w:tr>
      <w:tr>
        <w:trPr>
          <w:trHeight w:val="199"/>
        </w:trPr>
        <w:tc>
          <w:tcPr>
            <w:tcW w:w="2660" w:type="dxa"/>
            <w:vAlign w:val="bottom"/>
          </w:tcPr>
          <w:p>
            <w:pPr>
              <w:ind w:left="160"/>
              <w:spacing w:after="0" w:line="199" w:lineRule="exact"/>
              <w:rPr>
                <w:sz w:val="20"/>
                <w:szCs w:val="20"/>
                <w:color w:val="auto"/>
              </w:rPr>
            </w:pPr>
            <w:r>
              <w:rPr>
                <w:rFonts w:ascii="Arial" w:cs="Arial" w:eastAsia="Arial" w:hAnsi="Arial"/>
                <w:sz w:val="18"/>
                <w:szCs w:val="18"/>
                <w:color w:val="auto"/>
                <w:w w:val="99"/>
              </w:rPr>
              <w:t>Amortization and impairment of</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acquired intangibles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(3,282)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expenses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0"/>
        </w:trPr>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Selling and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8"/>
          </w:tcPr>
          <w:p>
            <w:pPr>
              <w:jc w:val="right"/>
              <w:ind w:right="240"/>
              <w:spacing w:after="0"/>
              <w:rPr>
                <w:sz w:val="20"/>
                <w:szCs w:val="20"/>
                <w:color w:val="auto"/>
              </w:rPr>
            </w:pPr>
            <w:r>
              <w:rPr>
                <w:rFonts w:ascii="Arial" w:cs="Arial" w:eastAsia="Arial" w:hAnsi="Arial"/>
                <w:sz w:val="18"/>
                <w:szCs w:val="18"/>
                <w:b w:val="1"/>
                <w:bCs w:val="1"/>
                <w:color w:val="auto"/>
                <w:w w:val="86"/>
              </w:rPr>
              <w:t>Research and</w:t>
            </w:r>
          </w:p>
        </w:tc>
        <w:tc>
          <w:tcPr>
            <w:tcW w:w="160" w:type="dxa"/>
            <w:vAlign w:val="bottom"/>
          </w:tcPr>
          <w:p>
            <w:pPr>
              <w:spacing w:after="0"/>
              <w:rPr>
                <w:sz w:val="24"/>
                <w:szCs w:val="24"/>
                <w:color w:val="auto"/>
              </w:rPr>
            </w:pPr>
          </w:p>
        </w:tc>
        <w:tc>
          <w:tcPr>
            <w:tcW w:w="148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88"/>
              </w:rPr>
              <w:t>Depreciation and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18"/>
                <w:szCs w:val="18"/>
                <w:b w:val="1"/>
                <w:bCs w:val="1"/>
                <w:color w:val="auto"/>
                <w:w w:val="82"/>
              </w:rPr>
              <w:t>Business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6"/>
              </w:rPr>
              <w:t>Interest and other,</w:t>
            </w:r>
          </w:p>
        </w:tc>
      </w:tr>
      <w:tr>
        <w:trPr>
          <w:trHeight w:val="229"/>
        </w:trPr>
        <w:tc>
          <w:tcPr>
            <w:tcW w:w="2660" w:type="dxa"/>
            <w:vAlign w:val="bottom"/>
          </w:tcPr>
          <w:p>
            <w:pPr>
              <w:spacing w:after="0"/>
              <w:rPr>
                <w:sz w:val="20"/>
                <w:szCs w:val="20"/>
                <w:color w:val="auto"/>
              </w:rPr>
            </w:pPr>
            <w:r>
              <w:rPr>
                <w:rFonts w:ascii="Arial" w:cs="Arial" w:eastAsia="Arial" w:hAnsi="Arial"/>
                <w:sz w:val="18"/>
                <w:szCs w:val="18"/>
                <w:b w:val="1"/>
                <w:bCs w:val="1"/>
                <w:color w:val="auto"/>
                <w:w w:val="87"/>
              </w:rPr>
              <w:t>Three Months Ended June 30, 2020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marketing</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7"/>
          </w:tcPr>
          <w:p>
            <w:pPr>
              <w:ind w:left="20"/>
              <w:spacing w:after="0"/>
              <w:rPr>
                <w:sz w:val="20"/>
                <w:szCs w:val="20"/>
                <w:color w:val="auto"/>
              </w:rPr>
            </w:pPr>
            <w:r>
              <w:rPr>
                <w:rFonts w:ascii="Arial" w:cs="Arial" w:eastAsia="Arial" w:hAnsi="Arial"/>
                <w:sz w:val="18"/>
                <w:szCs w:val="18"/>
                <w:b w:val="1"/>
                <w:bCs w:val="1"/>
                <w:color w:val="auto"/>
              </w:rPr>
              <w:t>development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7"/>
              </w:rPr>
              <w:t>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8"/>
          </w:tcPr>
          <w:p>
            <w:pPr>
              <w:ind w:left="20"/>
              <w:spacing w:after="0"/>
              <w:rPr>
                <w:sz w:val="20"/>
                <w:szCs w:val="20"/>
                <w:color w:val="auto"/>
              </w:rPr>
            </w:pPr>
            <w:r>
              <w:rPr>
                <w:rFonts w:ascii="Arial" w:cs="Arial" w:eastAsia="Arial" w:hAnsi="Arial"/>
                <w:sz w:val="18"/>
                <w:szCs w:val="18"/>
                <w:b w:val="1"/>
                <w:bCs w:val="1"/>
                <w:color w:val="auto"/>
              </w:rPr>
              <w:t>reorganization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net</w:t>
            </w:r>
          </w:p>
        </w:tc>
      </w:tr>
      <w:tr>
        <w:trPr>
          <w:trHeight w:val="205"/>
        </w:trPr>
        <w:tc>
          <w:tcPr>
            <w:tcW w:w="2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reported</w:t>
            </w: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84,779</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73,108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12,418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8,218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9"/>
        </w:trPr>
        <w:tc>
          <w:tcPr>
            <w:tcW w:w="2980" w:type="dxa"/>
            <w:vAlign w:val="bottom"/>
            <w:gridSpan w:val="3"/>
          </w:tcPr>
          <w:p>
            <w:pPr>
              <w:ind w:left="160"/>
              <w:spacing w:after="0" w:line="199" w:lineRule="exact"/>
              <w:rPr>
                <w:sz w:val="20"/>
                <w:szCs w:val="20"/>
                <w:color w:val="auto"/>
              </w:rPr>
            </w:pPr>
            <w:r>
              <w:rPr>
                <w:rFonts w:ascii="Arial" w:cs="Arial" w:eastAsia="Arial" w:hAnsi="Arial"/>
                <w:sz w:val="18"/>
                <w:szCs w:val="18"/>
                <w:color w:val="auto"/>
                <w:w w:val="93"/>
              </w:rPr>
              <w:t>Net effect from deferrned net 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w w:val="98"/>
              </w:rPr>
              <w:t>andrelated cost of goods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(760)</w:t>
            </w:r>
          </w:p>
        </w:tc>
      </w:tr>
      <w:tr>
        <w:trPr>
          <w:trHeight w:val="211"/>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(4,728)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9"/>
        </w:trPr>
        <w:tc>
          <w:tcPr>
            <w:tcW w:w="3160" w:type="dxa"/>
            <w:vAlign w:val="bottom"/>
            <w:gridSpan w:val="5"/>
          </w:tcPr>
          <w:p>
            <w:pPr>
              <w:ind w:left="160"/>
              <w:spacing w:after="0" w:line="199" w:lineRule="exact"/>
              <w:rPr>
                <w:sz w:val="20"/>
                <w:szCs w:val="20"/>
                <w:color w:val="auto"/>
              </w:rPr>
            </w:pPr>
            <w:r>
              <w:rPr>
                <w:rFonts w:ascii="Arial" w:cs="Arial" w:eastAsia="Arial" w:hAnsi="Arial"/>
                <w:sz w:val="18"/>
                <w:szCs w:val="18"/>
                <w:color w:val="auto"/>
                <w:w w:val="92"/>
              </w:rPr>
              <w:t>Amortization and impairment of acquired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660" w:type="dxa"/>
            <w:vAlign w:val="bottom"/>
          </w:tcPr>
          <w:p>
            <w:pPr>
              <w:ind w:left="320"/>
              <w:spacing w:after="0"/>
              <w:rPr>
                <w:sz w:val="20"/>
                <w:szCs w:val="20"/>
                <w:color w:val="auto"/>
              </w:rPr>
            </w:pPr>
            <w:r>
              <w:rPr>
                <w:rFonts w:ascii="Arial" w:cs="Arial" w:eastAsia="Arial" w:hAnsi="Arial"/>
                <w:sz w:val="18"/>
                <w:szCs w:val="18"/>
                <w:color w:val="auto"/>
              </w:rPr>
              <w:t>intangibles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34"/>
        </w:trPr>
        <w:tc>
          <w:tcPr>
            <w:tcW w:w="2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4020" w:type="dxa"/>
            <w:vAlign w:val="bottom"/>
            <w:gridSpan w:val="2"/>
          </w:tcPr>
          <w:p>
            <w:pPr>
              <w:jc w:val="right"/>
              <w:ind w:right="2603"/>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4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158"/>
              <w:spacing w:after="0"/>
              <w:rPr>
                <w:sz w:val="20"/>
                <w:szCs w:val="20"/>
                <w:color w:val="auto"/>
              </w:rPr>
            </w:pPr>
            <w:r>
              <w:rPr>
                <w:rFonts w:ascii="Arial" w:cs="Arial" w:eastAsia="Arial" w:hAnsi="Arial"/>
                <w:sz w:val="18"/>
                <w:szCs w:val="18"/>
                <w:b w:val="1"/>
                <w:bCs w:val="1"/>
                <w:color w:val="auto"/>
                <w:w w:val="86"/>
              </w:rPr>
              <w:t>Three months ended June 30,</w:t>
            </w:r>
          </w:p>
        </w:tc>
      </w:tr>
      <w:tr>
        <w:trPr>
          <w:trHeight w:val="218"/>
        </w:trPr>
        <w:tc>
          <w:tcPr>
            <w:tcW w:w="476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4"/>
        </w:trPr>
        <w:tc>
          <w:tcPr>
            <w:tcW w:w="47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cash from operating activities</w:t>
            </w: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148,242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445,423</w:t>
            </w:r>
          </w:p>
        </w:tc>
        <w:tc>
          <w:tcPr>
            <w:tcW w:w="100" w:type="dxa"/>
            <w:vAlign w:val="bottom"/>
            <w:shd w:val="clear" w:color="auto" w:fill="CCEEFF"/>
          </w:tcPr>
          <w:p>
            <w:pPr>
              <w:spacing w:after="0"/>
              <w:rPr>
                <w:sz w:val="17"/>
                <w:szCs w:val="17"/>
                <w:color w:val="auto"/>
              </w:rPr>
            </w:pPr>
          </w:p>
        </w:tc>
      </w:tr>
      <w:tr>
        <w:trPr>
          <w:trHeight w:val="264"/>
        </w:trPr>
        <w:tc>
          <w:tcPr>
            <w:tcW w:w="4760" w:type="dxa"/>
            <w:vAlign w:val="bottom"/>
          </w:tcPr>
          <w:p>
            <w:pPr>
              <w:ind w:left="680"/>
              <w:spacing w:after="0" w:line="263" w:lineRule="exact"/>
              <w:rPr>
                <w:sz w:val="20"/>
                <w:szCs w:val="20"/>
                <w:color w:val="auto"/>
              </w:rPr>
            </w:pPr>
            <w:r>
              <w:rPr>
                <w:rFonts w:ascii="Arial" w:cs="Arial" w:eastAsia="Arial" w:hAnsi="Arial"/>
                <w:sz w:val="18"/>
                <w:szCs w:val="18"/>
                <w:color w:val="auto"/>
                <w:w w:val="91"/>
              </w:rPr>
              <w:t xml:space="preserve">Net change in Restricted cash related to Operations </w:t>
            </w:r>
            <w:r>
              <w:rPr>
                <w:rFonts w:ascii="Arial" w:cs="Arial" w:eastAsia="Arial" w:hAnsi="Arial"/>
                <w:sz w:val="29"/>
                <w:szCs w:val="29"/>
                <w:color w:val="auto"/>
                <w:w w:val="91"/>
                <w:vertAlign w:val="superscript"/>
              </w:rPr>
              <w:t>(1)</w:t>
            </w:r>
          </w:p>
        </w:tc>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(119,139)</w:t>
            </w:r>
          </w:p>
        </w:tc>
        <w:tc>
          <w:tcPr>
            <w:tcW w:w="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(121,420)</w:t>
            </w:r>
          </w:p>
        </w:tc>
      </w:tr>
      <w:tr>
        <w:trPr>
          <w:trHeight w:val="217"/>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Unrestricted Operating Cash Flow</w:t>
            </w:r>
          </w:p>
        </w:tc>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4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18"/>
              <w:spacing w:after="0"/>
              <w:rPr>
                <w:sz w:val="20"/>
                <w:szCs w:val="20"/>
                <w:color w:val="auto"/>
              </w:rPr>
            </w:pPr>
            <w:r>
              <w:rPr>
                <w:rFonts w:ascii="Arial" w:cs="Arial" w:eastAsia="Arial" w:hAnsi="Arial"/>
                <w:sz w:val="18"/>
                <w:szCs w:val="18"/>
                <w:b w:val="1"/>
                <w:bCs w:val="1"/>
                <w:color w:val="auto"/>
              </w:rPr>
              <w:t>FY 2022</w:t>
            </w:r>
          </w:p>
        </w:tc>
        <w:tc>
          <w:tcPr>
            <w:tcW w:w="200" w:type="dxa"/>
            <w:vAlign w:val="bottom"/>
          </w:tcPr>
          <w:p>
            <w:pPr>
              <w:spacing w:after="0"/>
              <w:rPr>
                <w:sz w:val="24"/>
                <w:szCs w:val="24"/>
                <w:color w:val="auto"/>
              </w:rPr>
            </w:pPr>
          </w:p>
        </w:tc>
        <w:tc>
          <w:tcPr>
            <w:tcW w:w="102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FY 2021</w:t>
            </w:r>
          </w:p>
        </w:tc>
      </w:tr>
      <w:tr>
        <w:trPr>
          <w:trHeight w:val="205"/>
        </w:trPr>
        <w:tc>
          <w:tcPr>
            <w:tcW w:w="4760" w:type="dxa"/>
            <w:vAlign w:val="bottom"/>
            <w:tcBorders>
              <w:top w:val="single" w:sz="8" w:color="CCEEFF"/>
            </w:tcBorders>
            <w:shd w:val="clear" w:color="auto" w:fill="CCEEFF"/>
          </w:tcPr>
          <w:p>
            <w:pPr>
              <w:ind w:left="320"/>
              <w:spacing w:after="0" w:line="204" w:lineRule="exact"/>
              <w:rPr>
                <w:sz w:val="20"/>
                <w:szCs w:val="20"/>
                <w:color w:val="auto"/>
              </w:rPr>
            </w:pPr>
            <w:r>
              <w:rPr>
                <w:rFonts w:ascii="Arial" w:cs="Arial" w:eastAsia="Arial" w:hAnsi="Arial"/>
                <w:sz w:val="18"/>
                <w:szCs w:val="18"/>
                <w:color w:val="auto"/>
              </w:rPr>
              <w:t>Restricted cash beginning of period (4/1)</w:t>
            </w:r>
          </w:p>
        </w:tc>
        <w:tc>
          <w:tcPr>
            <w:tcW w:w="3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637,363</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635,728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4760" w:type="dxa"/>
            <w:vAlign w:val="bottom"/>
          </w:tcPr>
          <w:p>
            <w:pPr>
              <w:ind w:left="320"/>
              <w:spacing w:after="0"/>
              <w:rPr>
                <w:sz w:val="20"/>
                <w:szCs w:val="20"/>
                <w:color w:val="auto"/>
              </w:rPr>
            </w:pPr>
            <w:r>
              <w:rPr>
                <w:rFonts w:ascii="Arial" w:cs="Arial" w:eastAsia="Arial" w:hAnsi="Arial"/>
                <w:sz w:val="18"/>
                <w:szCs w:val="18"/>
                <w:color w:val="auto"/>
              </w:rPr>
              <w:t>Less Restricted cash end of period (6/30)</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756,502</w:t>
            </w:r>
          </w:p>
        </w:tc>
        <w:tc>
          <w:tcPr>
            <w:tcW w:w="200" w:type="dxa"/>
            <w:vAlign w:val="bottom"/>
          </w:tcPr>
          <w:p>
            <w:pPr>
              <w:spacing w:after="0"/>
              <w:rPr>
                <w:sz w:val="19"/>
                <w:szCs w:val="19"/>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757,148</w:t>
            </w:r>
          </w:p>
        </w:tc>
      </w:tr>
      <w:tr>
        <w:trPr>
          <w:trHeight w:val="217"/>
        </w:trPr>
        <w:tc>
          <w:tcPr>
            <w:tcW w:w="4760" w:type="dxa"/>
            <w:vAlign w:val="bottom"/>
            <w:tcBorders>
              <w:top w:val="single" w:sz="8" w:color="CCEEFF"/>
              <w:bottom w:val="single" w:sz="8" w:color="CCEEFF"/>
            </w:tcBorders>
            <w:shd w:val="clear" w:color="auto" w:fill="CCEEFF"/>
          </w:tcPr>
          <w:p>
            <w:pPr>
              <w:ind w:left="320"/>
              <w:spacing w:after="0" w:line="217"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Net change in Restricted cash related to Operations</w:t>
            </w:r>
          </w:p>
        </w:tc>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(119,139</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3"/>
        </w:trPr>
        <w:tc>
          <w:tcPr>
            <w:tcW w:w="4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decimal"/>
      <w:start w:val="104"/>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o"/>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2021-08-02T15:38:45Z</dcterms:created>
  <dcterms:modified xsi:type="dcterms:W3CDTF">2021-08-02T15:38:45Z</dcterms:modified>
</cp:coreProperties>
</file>