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HERNANDEZ ROLAND A</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05/26/2021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168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920"/>
              <w:spacing w:after="0"/>
              <w:rPr>
                <w:sz w:val="20"/>
                <w:szCs w:val="20"/>
                <w:color w:val="auto"/>
              </w:rPr>
            </w:pPr>
            <w:r>
              <w:rPr>
                <w:rFonts w:ascii="Arial" w:cs="Arial" w:eastAsia="Arial" w:hAnsi="Arial"/>
                <w:sz w:val="17"/>
                <w:szCs w:val="17"/>
                <w:color w:val="0000FF"/>
              </w:rPr>
              <w:t>05/26/2021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314</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3,317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gridSpan w:val="17"/>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May 26, 2021; and (ii) the number of shares were determined based on the dollar value of the award and the average of the closing prices of the common stock on the ten trading days prior to May 26, 2021 (the "Pricing Date"), the fifth trading day following the filing of the Issuer's Annual Report on Form 10-K.</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Mr. Roland A.</w:t>
      </w:r>
      <w:r>
        <w:rPr>
          <w:sz w:val="20"/>
          <w:szCs w:val="20"/>
          <w:color w:val="auto"/>
        </w:rPr>
        <w:tab/>
      </w:r>
      <w:r>
        <w:rPr>
          <w:rFonts w:ascii="Arial" w:cs="Arial" w:eastAsia="Arial" w:hAnsi="Arial"/>
          <w:sz w:val="15"/>
          <w:szCs w:val="15"/>
          <w:color w:val="0000FF"/>
        </w:rPr>
        <w:t>05/27/2021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4703"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2021-05-28T00:53:37Z</dcterms:created>
  <dcterms:modified xsi:type="dcterms:W3CDTF">2021-05-28T00:53:37Z</dcterms:modified>
</cp:coreProperties>
</file>