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Siminoff Ellen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TAKE-TWO INTERACTIVE SOFTWARE,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WEST 44TH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TAKE TWO INTERACTIVE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TTWO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8"/>
        <w:gridCol w:w="925"/>
        <w:gridCol w:w="793"/>
        <w:gridCol w:w="614"/>
        <w:gridCol w:w="346"/>
        <w:gridCol w:w="780"/>
        <w:gridCol w:w="434"/>
        <w:gridCol w:w="853"/>
        <w:gridCol w:w="1138"/>
        <w:gridCol w:w="983"/>
        <w:gridCol w:w="12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202.92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1,332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D&amp;E Living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202.92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1,332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EFS 2020 Irrevocable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1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9,811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of shares pursuant to a Rule 10b5-1 trading plan adopted by the D&amp;E Living Trust and the EFS 2020 Irrevocable Trust on February 19,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directly by the D&amp;E Living Trust. The Reporting Person and David Siminoff serve as co-trustees and retain voting and dispositive power with respect to the shares held by the D&amp;E Living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directly by the EFS 2020 Irrevocable Trust. The Reporting Person serves as trustee and holds voting and dispositive power with respect to these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Diamond, attorney-in-fact for Ms. Ellen F. Siminoff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86430" TargetMode="External"/><Relationship Id="rId5" Type="http://schemas.openxmlformats.org/officeDocument/2006/relationships/hyperlink" Target="http://www.sec.gov/cgi-bin/browse-edgar?action=getcompany&amp;CIK=000094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686</Words>
  <Characters>3658</Characters>
  <CharactersWithSpaces>4262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