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6980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698055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ZELNICK STRAUSS</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ind w:right="555"/>
        <w:spacing w:after="0" w:line="250" w:lineRule="auto"/>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TAKE TWO INTERACTIVE</w:t>
        </w:r>
      </w:hyperlink>
      <w:r>
        <w:rPr>
          <w:rFonts w:ascii="Times New Roman" w:cs="Times New Roman" w:eastAsia="Times New Roman" w:hAnsi="Times New Roman"/>
          <w:sz w:val="21"/>
          <w:szCs w:val="21"/>
          <w:u w:val="single" w:color="auto"/>
          <w:color w:val="0000EE"/>
        </w:rPr>
        <w:t xml:space="preserve"> </w:t>
      </w:r>
      <w:hyperlink r:id="rId13">
        <w:r>
          <w:rPr>
            <w:rFonts w:ascii="Times New Roman" w:cs="Times New Roman" w:eastAsia="Times New Roman" w:hAnsi="Times New Roman"/>
            <w:sz w:val="21"/>
            <w:szCs w:val="21"/>
            <w:u w:val="single" w:color="auto"/>
            <w:color w:val="0000EE"/>
          </w:rPr>
          <w:t>SOFTWARE INC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TTWO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p>
      <w:pPr>
        <w:spacing w:after="0" w:line="20" w:lineRule="exact"/>
        <w:rPr>
          <w:sz w:val="20"/>
          <w:szCs w:val="20"/>
          <w:color w:val="auto"/>
        </w:rPr>
      </w:pPr>
      <w:r>
        <w:rPr>
          <w:sz w:val="20"/>
          <w:szCs w:val="20"/>
          <w:color w:val="auto"/>
        </w:rPr>
        <w:br w:type="column"/>
      </w:r>
    </w:p>
    <w:p>
      <w:pPr>
        <w:ind w:left="5" w:right="46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sectPr>
          <w:pgSz w:w="11900" w:h="16838" w:orient="portrait"/>
          <w:cols w:equalWidth="0" w:num="3">
            <w:col w:w="3200" w:space="720"/>
            <w:col w:w="3095" w:space="720"/>
            <w:col w:w="3265"/>
          </w:cols>
          <w:pgMar w:left="460" w:top="219" w:right="439" w:bottom="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TAKE-TWO INTERACTIVE SOFTWARE,</w:t>
            </w:r>
          </w:p>
        </w:tc>
        <w:tc>
          <w:tcPr>
            <w:tcW w:w="2960" w:type="dxa"/>
            <w:vAlign w:val="bottom"/>
            <w:tcBorders>
              <w:top w:val="single" w:sz="8" w:color="2C2C2C"/>
            </w:tcBorders>
            <w:gridSpan w:val="4"/>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Borders>
              <w:top w:val="single" w:sz="8" w:color="2C2C2C"/>
            </w:tcBorders>
          </w:tcPr>
          <w:p>
            <w:pPr>
              <w:spacing w:after="0"/>
              <w:rPr>
                <w:sz w:val="16"/>
                <w:szCs w:val="16"/>
                <w:color w:val="auto"/>
              </w:rPr>
            </w:pPr>
          </w:p>
        </w:tc>
        <w:tc>
          <w:tcPr>
            <w:tcW w:w="360" w:type="dxa"/>
            <w:vAlign w:val="bottom"/>
            <w:tcBorders>
              <w:top w:val="single" w:sz="8" w:color="2C2C2C"/>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60" w:type="dxa"/>
            <w:vAlign w:val="bottom"/>
          </w:tcPr>
          <w:p>
            <w:pPr>
              <w:ind w:left="20"/>
              <w:spacing w:after="0" w:line="192" w:lineRule="exact"/>
              <w:rPr>
                <w:sz w:val="20"/>
                <w:szCs w:val="20"/>
                <w:color w:val="auto"/>
              </w:rPr>
            </w:pPr>
            <w:r>
              <w:rPr>
                <w:rFonts w:ascii="Times New Roman" w:cs="Times New Roman" w:eastAsia="Times New Roman" w:hAnsi="Times New Roman"/>
                <w:sz w:val="17"/>
                <w:szCs w:val="17"/>
                <w:color w:val="0000FF"/>
              </w:rPr>
              <w:t>Chairman, CEO</w:t>
            </w: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4"/>
            <w:vMerge w:val="continue"/>
          </w:tcPr>
          <w:p>
            <w:pPr>
              <w:spacing w:after="0"/>
              <w:rPr>
                <w:sz w:val="6"/>
                <w:szCs w:val="6"/>
                <w:color w:val="auto"/>
              </w:rPr>
            </w:pP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06/01/2022</w:t>
            </w: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8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110 WEST 44TH STREET</w:t>
            </w: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0" w:type="dxa"/>
            <w:vAlign w:val="bottom"/>
            <w:gridSpan w:val="2"/>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60" w:type="dxa"/>
            <w:vAlign w:val="bottom"/>
            <w:gridSpan w:val="5"/>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40" w:type="dxa"/>
            <w:vAlign w:val="bottom"/>
            <w:gridSpan w:val="5"/>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5"/>
            <w:vMerge w:val="continue"/>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64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1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NY</w:t>
            </w:r>
          </w:p>
        </w:tc>
        <w:tc>
          <w:tcPr>
            <w:tcW w:w="164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10036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60" w:type="dxa"/>
            <w:vAlign w:val="bottom"/>
            <w:gridSpan w:val="4"/>
          </w:tcPr>
          <w:p>
            <w:pPr>
              <w:ind w:left="120"/>
              <w:spacing w:after="0" w:line="18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860" w:type="dxa"/>
            <w:vAlign w:val="bottom"/>
            <w:vMerge w:val="continue"/>
          </w:tcPr>
          <w:p>
            <w:pPr>
              <w:spacing w:after="0"/>
              <w:rPr>
                <w:sz w:val="20"/>
                <w:szCs w:val="20"/>
                <w:color w:val="auto"/>
              </w:rPr>
            </w:pPr>
          </w:p>
        </w:tc>
        <w:tc>
          <w:tcPr>
            <w:tcW w:w="16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60" w:type="dxa"/>
            <w:vAlign w:val="bottom"/>
            <w:gridSpan w:val="4"/>
          </w:tcPr>
          <w:p>
            <w:pPr>
              <w:ind w:left="4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ind w:left="440"/>
              <w:spacing w:after="0" w:line="113" w:lineRule="exact"/>
              <w:rPr>
                <w:sz w:val="20"/>
                <w:szCs w:val="20"/>
                <w:color w:val="auto"/>
              </w:rPr>
            </w:pPr>
            <w:r>
              <w:rPr>
                <w:rFonts w:ascii="Arial" w:cs="Arial" w:eastAsia="Arial" w:hAnsi="Arial"/>
                <w:sz w:val="13"/>
                <w:szCs w:val="13"/>
                <w:color w:val="auto"/>
              </w:rPr>
              <w:t>Person</w:t>
            </w:r>
          </w:p>
        </w:tc>
        <w:tc>
          <w:tcPr>
            <w:tcW w:w="1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860" w:type="dxa"/>
            <w:vAlign w:val="bottom"/>
          </w:tcPr>
          <w:p>
            <w:pPr>
              <w:ind w:left="80"/>
              <w:spacing w:after="0"/>
              <w:rPr>
                <w:sz w:val="20"/>
                <w:szCs w:val="20"/>
                <w:color w:val="auto"/>
              </w:rPr>
            </w:pPr>
            <w:r>
              <w:rPr>
                <w:rFonts w:ascii="Arial" w:cs="Arial" w:eastAsia="Arial" w:hAnsi="Arial"/>
                <w:sz w:val="13"/>
                <w:szCs w:val="13"/>
                <w:color w:val="auto"/>
              </w:rPr>
              <w:t>(State)</w:t>
            </w:r>
          </w:p>
        </w:tc>
        <w:tc>
          <w:tcPr>
            <w:tcW w:w="1720" w:type="dxa"/>
            <w:vAlign w:val="bottom"/>
            <w:gridSpan w:val="2"/>
          </w:tcPr>
          <w:p>
            <w:pPr>
              <w:ind w:left="4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3900" w:type="dxa"/>
            <w:vAlign w:val="bottom"/>
            <w:tcBorders>
              <w:bottom w:val="single" w:sz="8" w:color="2C2C2C"/>
            </w:tcBorders>
            <w:gridSpan w:val="7"/>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2080" w:type="dxa"/>
            <w:vAlign w:val="bottom"/>
            <w:tcBorders>
              <w:bottom w:val="single" w:sz="8" w:color="2C2C2C"/>
            </w:tcBorders>
            <w:gridSpan w:val="2"/>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2"/>
          </w:tcPr>
          <w:p>
            <w:pPr>
              <w:ind w:lef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10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100" w:type="dxa"/>
            <w:vAlign w:val="bottom"/>
            <w:tcBorders>
              <w:bottom w:val="single" w:sz="8" w:color="2C2C2C"/>
            </w:tcBorders>
            <w:gridSpan w:val="3"/>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160" w:type="dxa"/>
            <w:vAlign w:val="bottom"/>
          </w:tcPr>
          <w:p>
            <w:pPr>
              <w:spacing w:after="0"/>
              <w:rPr>
                <w:sz w:val="15"/>
                <w:szCs w:val="15"/>
                <w:color w:val="auto"/>
              </w:rPr>
            </w:pP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tcPr>
          <w:p>
            <w:pPr>
              <w:ind w:left="28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20" w:type="dxa"/>
            <w:vAlign w:val="bottom"/>
            <w:gridSpan w:val="2"/>
          </w:tcPr>
          <w:p>
            <w:pPr>
              <w:ind w:left="840"/>
              <w:spacing w:after="0" w:line="133" w:lineRule="exact"/>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1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80" w:type="dxa"/>
            <w:vAlign w:val="bottom"/>
            <w:gridSpan w:val="3"/>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11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 or</w:t>
            </w: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11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11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88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3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92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1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3"/>
                <w:szCs w:val="13"/>
                <w:color w:val="auto"/>
              </w:rPr>
            </w:pP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w w:val="99"/>
              </w:rPr>
              <w:t>Transaction(s)</w:t>
            </w:r>
          </w:p>
        </w:tc>
        <w:tc>
          <w:tcPr>
            <w:tcW w:w="1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16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3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w w:val="99"/>
              </w:rPr>
              <w:t>(Instr. 3 and 4)</w:t>
            </w:r>
          </w:p>
        </w:tc>
        <w:tc>
          <w:tcPr>
            <w:tcW w:w="116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By ZMC</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Pr>
          <w:p>
            <w:pPr>
              <w:spacing w:after="0"/>
              <w:rPr>
                <w:sz w:val="18"/>
                <w:szCs w:val="18"/>
                <w:color w:val="auto"/>
              </w:rPr>
            </w:pPr>
          </w:p>
        </w:tc>
        <w:tc>
          <w:tcPr>
            <w:tcW w:w="172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0000FF"/>
                <w:w w:val="98"/>
              </w:rPr>
              <w:t>06/01/2022</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80" w:type="dxa"/>
            <w:vAlign w:val="bottom"/>
          </w:tcPr>
          <w:p>
            <w:pPr>
              <w:ind w:left="80"/>
              <w:spacing w:after="0" w:line="213" w:lineRule="exact"/>
              <w:rPr>
                <w:sz w:val="20"/>
                <w:szCs w:val="20"/>
                <w:color w:val="auto"/>
              </w:rPr>
            </w:pPr>
            <w:r>
              <w:rPr>
                <w:rFonts w:ascii="Times New Roman" w:cs="Times New Roman" w:eastAsia="Times New Roman" w:hAnsi="Times New Roman"/>
                <w:sz w:val="17"/>
                <w:szCs w:val="17"/>
                <w:color w:val="0000FF"/>
              </w:rPr>
              <w:t>675,684</w:t>
            </w:r>
            <w:r>
              <w:rPr>
                <w:rFonts w:ascii="Times New Roman" w:cs="Times New Roman" w:eastAsia="Times New Roman" w:hAnsi="Times New Roman"/>
                <w:sz w:val="22"/>
                <w:szCs w:val="22"/>
                <w:color w:val="008000"/>
                <w:vertAlign w:val="superscript"/>
              </w:rPr>
              <w:t>(1)</w:t>
            </w:r>
          </w:p>
        </w:tc>
        <w:tc>
          <w:tcPr>
            <w:tcW w:w="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Pr>
          <w:p>
            <w:pPr>
              <w:spacing w:after="0"/>
              <w:rPr>
                <w:sz w:val="18"/>
                <w:szCs w:val="18"/>
                <w:color w:val="auto"/>
              </w:rPr>
            </w:pPr>
          </w:p>
        </w:tc>
        <w:tc>
          <w:tcPr>
            <w:tcW w:w="1000" w:type="dxa"/>
            <w:vAlign w:val="bottom"/>
            <w:gridSpan w:val="2"/>
          </w:tcPr>
          <w:p>
            <w:pPr>
              <w:jc w:val="center"/>
              <w:ind w:left="200"/>
              <w:spacing w:after="0"/>
              <w:rPr>
                <w:sz w:val="20"/>
                <w:szCs w:val="20"/>
                <w:color w:val="auto"/>
              </w:rPr>
            </w:pPr>
            <w:r>
              <w:rPr>
                <w:rFonts w:ascii="Times New Roman" w:cs="Times New Roman" w:eastAsia="Times New Roman" w:hAnsi="Times New Roman"/>
                <w:sz w:val="17"/>
                <w:szCs w:val="17"/>
                <w:color w:val="0000FF"/>
              </w:rPr>
              <w:t>675,684</w:t>
            </w:r>
          </w:p>
        </w:tc>
        <w:tc>
          <w:tcPr>
            <w:tcW w:w="1160" w:type="dxa"/>
            <w:vAlign w:val="bottom"/>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Advisors,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2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By Wendy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vMerge w:val="restart"/>
          </w:tcPr>
          <w:p>
            <w:pPr>
              <w:jc w:val="center"/>
              <w:ind w:left="220"/>
              <w:spacing w:after="0"/>
              <w:rPr>
                <w:sz w:val="20"/>
                <w:szCs w:val="20"/>
                <w:color w:val="auto"/>
              </w:rPr>
            </w:pPr>
            <w:r>
              <w:rPr>
                <w:rFonts w:ascii="Times New Roman" w:cs="Times New Roman" w:eastAsia="Times New Roman" w:hAnsi="Times New Roman"/>
                <w:sz w:val="17"/>
                <w:szCs w:val="17"/>
                <w:color w:val="0000FF"/>
                <w:w w:val="97"/>
              </w:rPr>
              <w:t>71,551</w:t>
            </w:r>
            <w:r>
              <w:rPr>
                <w:rFonts w:ascii="Times New Roman" w:cs="Times New Roman" w:eastAsia="Times New Roman" w:hAnsi="Times New Roman"/>
                <w:sz w:val="22"/>
                <w:szCs w:val="22"/>
                <w:color w:val="008000"/>
                <w:w w:val="97"/>
                <w:vertAlign w:val="superscript"/>
              </w:rPr>
              <w:t>(3)</w:t>
            </w:r>
          </w:p>
        </w:tc>
        <w:tc>
          <w:tcPr>
            <w:tcW w:w="1160" w:type="dxa"/>
            <w:vAlign w:val="bottom"/>
            <w:vMerge w:val="restart"/>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Jay Belzberg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8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2012 Family</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By Zelnick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vMerge w:val="restart"/>
          </w:tcPr>
          <w:p>
            <w:pPr>
              <w:jc w:val="center"/>
              <w:ind w:left="220"/>
              <w:spacing w:after="0"/>
              <w:rPr>
                <w:sz w:val="20"/>
                <w:szCs w:val="20"/>
                <w:color w:val="auto"/>
              </w:rPr>
            </w:pPr>
            <w:r>
              <w:rPr>
                <w:rFonts w:ascii="Times New Roman" w:cs="Times New Roman" w:eastAsia="Times New Roman" w:hAnsi="Times New Roman"/>
                <w:sz w:val="17"/>
                <w:szCs w:val="17"/>
                <w:color w:val="0000FF"/>
                <w:w w:val="96"/>
              </w:rPr>
              <w:t>110,052</w:t>
            </w:r>
            <w:r>
              <w:rPr>
                <w:rFonts w:ascii="Times New Roman" w:cs="Times New Roman" w:eastAsia="Times New Roman" w:hAnsi="Times New Roman"/>
                <w:sz w:val="22"/>
                <w:szCs w:val="22"/>
                <w:color w:val="008000"/>
                <w:w w:val="96"/>
                <w:vertAlign w:val="superscript"/>
              </w:rPr>
              <w:t>(4)</w:t>
            </w:r>
          </w:p>
        </w:tc>
        <w:tc>
          <w:tcPr>
            <w:tcW w:w="1160" w:type="dxa"/>
            <w:vAlign w:val="bottom"/>
            <w:vMerge w:val="restart"/>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Belzberg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8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By Zelnick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left="220"/>
              <w:spacing w:after="0" w:line="213" w:lineRule="exact"/>
              <w:rPr>
                <w:sz w:val="20"/>
                <w:szCs w:val="20"/>
                <w:color w:val="auto"/>
              </w:rPr>
            </w:pPr>
            <w:r>
              <w:rPr>
                <w:rFonts w:ascii="Times New Roman" w:cs="Times New Roman" w:eastAsia="Times New Roman" w:hAnsi="Times New Roman"/>
                <w:sz w:val="17"/>
                <w:szCs w:val="17"/>
                <w:color w:val="0000FF"/>
                <w:w w:val="96"/>
              </w:rPr>
              <w:t>372,014</w:t>
            </w:r>
            <w:r>
              <w:rPr>
                <w:rFonts w:ascii="Times New Roman" w:cs="Times New Roman" w:eastAsia="Times New Roman" w:hAnsi="Times New Roman"/>
                <w:sz w:val="22"/>
                <w:szCs w:val="22"/>
                <w:color w:val="008000"/>
                <w:w w:val="96"/>
                <w:vertAlign w:val="superscript"/>
              </w:rPr>
              <w:t>(5)</w:t>
            </w:r>
          </w:p>
        </w:tc>
        <w:tc>
          <w:tcPr>
            <w:tcW w:w="1160" w:type="dxa"/>
            <w:vAlign w:val="bottom"/>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Corporation</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120" w:firstLine="7"/>
        <w:spacing w:after="0" w:line="24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previously disclosed Management Agreement (as defined and described in Footnote (2) below), represents the grant of (a) 188,665 restricted units to ZMC Advisors, L.P. ("ZMC Advisors") pursuant to a Restricted Unit Agreement entered into by ZMC Advisors and the Company on June 1, 2022 (the "Transition Period Grant Agreement (2 Year Cliff Vest)"), (b) 206,517 restricted units to ZMC Advisors pursuant to a Restricted Unit Agreement entered into by ZMC Advisors and the Company on June 1, 2022 (the "Transition Period Grant Agreement (3 Year Cliff Vest)"), and (c)</w:t>
      </w:r>
    </w:p>
    <w:p>
      <w:pPr>
        <w:spacing w:after="0" w:line="1" w:lineRule="exact"/>
        <w:rPr>
          <w:rFonts w:ascii="Times New Roman" w:cs="Times New Roman" w:eastAsia="Times New Roman" w:hAnsi="Times New Roman"/>
          <w:sz w:val="13"/>
          <w:szCs w:val="13"/>
          <w:color w:val="008000"/>
        </w:rPr>
      </w:pPr>
    </w:p>
    <w:p>
      <w:pPr>
        <w:ind w:left="40" w:right="80"/>
        <w:spacing w:after="0"/>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280,502 restricted units to ZMC Advisors pursuant to a Restricted Unit Agreement entered into by ZMC Advisors and the Company on June 1, 2022 (the "New Grant Agreement" and together with the Transition Period Grant Agreement (2 Year Cliff Vest) and the Transition Period Grant Agreement (3 Year Cliff Vest), the "Restricted Unit Agreements"). The Transition Period Grant Agreement (2 Year Cliff Vest) includes (i) 37,733 time-based restricted units that are scheduled to vest on June 1, 2024 and (ii) 150,932 performance-based restricted units that are scheduled to vest on June 1, 2024. The Transition Period Grant Agreement (3 Year Cliff Vest) includes (i) 41,303 time-based restricted units that are scheduled to vest on June 1, 2025 and (ii) 165,214 performance-based restricted units that are scheduled to vest on June 1, 2025. The New Grant Agreement includes (i) 56,100 time-based restricted units that are scheduled to vest in equal installments on June 1, 2023, June 1, 2024 and June 1, 2025 and (ii) 224,402 performance-based restricted units that are scheduled to vest on June 1, 2025. Further information regarding the Restricted Unit Agreements and the restricted units, including the vesting schedule, is available in the Company's Current Report on Form 8-K filed with the Commission on May 5, 2022. The 675,684 restricted units reported herein are held directly by ZMC Advisors, L.P., of which Mr. Zelnick is a partner (such securities are not held individually by Mr. Zelnick). Mr. Zelnick disclaims beneficial ownership of the securities held by ZMC Advisors, L.P. except to the extent of his pecuniary interest therein.</w:t>
      </w:r>
    </w:p>
    <w:p>
      <w:pPr>
        <w:spacing w:after="0" w:line="162" w:lineRule="exact"/>
        <w:rPr>
          <w:rFonts w:ascii="Times New Roman" w:cs="Times New Roman" w:eastAsia="Times New Roman" w:hAnsi="Times New Roman"/>
          <w:sz w:val="13"/>
          <w:szCs w:val="13"/>
          <w:color w:val="008000"/>
        </w:rPr>
      </w:pPr>
    </w:p>
    <w:p>
      <w:pPr>
        <w:ind w:left="40" w:right="26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3, 2022, the Company entered into a Management Agreement (the "Management Agreement"), with ZelnickMedia Corporation ("ZelnickMedia"), which became effective on May 23, 2022, which was the closing date of the Company's acquisition of Zynga Inc. (the "Effective Date"). On May 21, 2022, ZelnickMedia assigned all of its rights and obligations and other liabilities under the Management Agreement (other than the 2022 Portion of Fiscal 2023 (as defined in the Management Agreement) and any portion of the Management Fee (as defined in the Management Agreement) in respect of periods on or prior to the Effective Date) from ZelnickMedia to ZMC Advisors pursuant to Section 16 of the Management Agreement. Such assignment included the right to receive the restricted units pursuant to the Restricted Unit Agreements described in Footnote (1) above.</w:t>
      </w:r>
    </w:p>
    <w:p>
      <w:pPr>
        <w:spacing w:after="0" w:line="26"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71,551 shares of Common Stock held by the Wendy Jay Belzberg 2012 Family Trust (such securities are indirectly held by Mr. Zelnick). Mr. Zelnick disclaims beneficial ownership of the securities held by the Wendy Jay Belzberg 2012 Family Trust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40" w:right="1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110,052 shares of Common Stock held by the Zelnick/Belzberg Living Trust (such securities are indirectly held by Mr. Zelnick). Mr. Zelnick disclaims beneficial ownership of the securities held by the Zelnick/Belzberg Living Trust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372,014 restricted units held directly by ZelnickMedia Corporation, of which Mr. Zelnick is a partner (such securities are not held individually by Mr. Zelnick). Mr. Zelnick disclaims</w:t>
      </w:r>
    </w:p>
    <w:p>
      <w:pPr>
        <w:sectPr>
          <w:pgSz w:w="11900" w:h="16838" w:orient="portrait"/>
          <w:cols w:equalWidth="0" w:num="1">
            <w:col w:w="11000"/>
          </w:cols>
          <w:pgMar w:left="460" w:top="219" w:right="4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beneficial ownership of the securities held by ZelnickMedia Corporation except to the extent of his pecuniary interest therein.</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40" w:type="dxa"/>
            <w:vAlign w:val="bottom"/>
          </w:tcPr>
          <w:p>
            <w:pPr>
              <w:spacing w:after="0"/>
              <w:rPr>
                <w:sz w:val="17"/>
                <w:szCs w:val="17"/>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Strauss Zelnick</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06/03/2022</w:t>
            </w:r>
          </w:p>
        </w:tc>
      </w:tr>
      <w:tr>
        <w:trPr>
          <w:trHeight w:val="20"/>
        </w:trPr>
        <w:tc>
          <w:tcPr>
            <w:tcW w:w="65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5"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3489" TargetMode="External"/><Relationship Id="rId13"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2022-06-03T16:49:28Z</dcterms:created>
  <dcterms:modified xsi:type="dcterms:W3CDTF">2022-06-03T16:49:28Z</dcterms:modified>
</cp:coreProperties>
</file>